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方正小标宋简体" w:hAnsi="方正小标宋简体" w:eastAsia="方正小标宋简体" w:cs="方正小标宋简体"/>
          <w:sz w:val="44"/>
          <w:szCs w:val="44"/>
          <w:lang w:val="en"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line="500" w:lineRule="exact"/>
        <w:ind w:left="0" w:leftChars="0" w:firstLine="0" w:firstLineChars="0"/>
        <w:textAlignment w:val="auto"/>
        <w:rPr>
          <w:rFonts w:hint="default"/>
          <w:sz w:val="28"/>
          <w:szCs w:val="4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lang w:val="en-US" w:eastAsia="zh-CN"/>
        </w:rPr>
      </w:pPr>
      <w:r>
        <w:rPr>
          <w:rFonts w:hint="eastAsia" w:ascii="仿宋_GB2312" w:hAnsi="仿宋_GB2312" w:eastAsia="仿宋_GB2312" w:cs="仿宋_GB2312"/>
          <w:sz w:val="32"/>
          <w:szCs w:val="32"/>
          <w:lang w:val="en-US" w:eastAsia="zh-CN"/>
        </w:rPr>
        <w:t>芮发改发〔2023〕41号</w:t>
      </w:r>
    </w:p>
    <w:p>
      <w:pPr>
        <w:pStyle w:val="2"/>
        <w:ind w:left="0" w:leftChars="0" w:firstLine="0" w:firstLineChars="0"/>
        <w:rPr>
          <w:rFonts w:hint="eastAsia"/>
          <w:sz w:val="32"/>
          <w:szCs w:val="52"/>
          <w:lang w:val="en-US" w:eastAsia="zh-CN"/>
        </w:rPr>
      </w:pP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芮城县发展和改革局</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jc w:val="center"/>
        <w:textAlignment w:val="auto"/>
        <w:outlineLvl w:val="9"/>
        <w:rPr>
          <w:rFonts w:hint="eastAsia" w:ascii="方正小标宋简体" w:hAnsi="方正小标宋简体" w:eastAsia="方正小标宋简体" w:cs="方正小标宋简体"/>
          <w:b w:val="0"/>
          <w:bCs w:val="0"/>
          <w:i w:val="0"/>
          <w:iCs w:val="0"/>
          <w:smallCaps w:val="0"/>
          <w:strike w:val="0"/>
          <w:spacing w:val="0"/>
          <w:w w:val="100"/>
          <w:position w:val="0"/>
          <w:sz w:val="44"/>
          <w:szCs w:val="44"/>
          <w:lang w:val="en-US" w:eastAsia="zh-CN"/>
        </w:rPr>
      </w:pPr>
      <w:r>
        <w:rPr>
          <w:rFonts w:hint="eastAsia" w:ascii="方正小标宋简体" w:hAnsi="方正小标宋简体" w:eastAsia="方正小标宋简体" w:cs="方正小标宋简体"/>
          <w:b w:val="0"/>
          <w:bCs w:val="0"/>
          <w:i w:val="0"/>
          <w:iCs w:val="0"/>
          <w:smallCaps w:val="0"/>
          <w:strike w:val="0"/>
          <w:spacing w:val="0"/>
          <w:w w:val="100"/>
          <w:position w:val="0"/>
          <w:sz w:val="44"/>
          <w:szCs w:val="44"/>
          <w:lang w:val="en-US" w:eastAsia="zh-CN"/>
        </w:rPr>
        <w:t>印发《关于在全县重点工程项目中大力实施</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jc w:val="center"/>
        <w:textAlignment w:val="auto"/>
        <w:outlineLvl w:val="9"/>
        <w:rPr>
          <w:rFonts w:hint="eastAsia" w:ascii="方正小标宋简体" w:hAnsi="方正小标宋简体" w:eastAsia="方正小标宋简体" w:cs="方正小标宋简体"/>
          <w:b w:val="0"/>
          <w:bCs w:val="0"/>
          <w:i w:val="0"/>
          <w:iCs w:val="0"/>
          <w:smallCaps w:val="0"/>
          <w:strike w:val="0"/>
          <w:spacing w:val="0"/>
          <w:w w:val="100"/>
          <w:position w:val="0"/>
          <w:sz w:val="44"/>
          <w:szCs w:val="44"/>
          <w:lang w:val="en-US" w:eastAsia="zh-CN"/>
        </w:rPr>
      </w:pPr>
      <w:r>
        <w:rPr>
          <w:rFonts w:hint="eastAsia" w:ascii="方正小标宋简体" w:hAnsi="方正小标宋简体" w:eastAsia="方正小标宋简体" w:cs="方正小标宋简体"/>
          <w:b w:val="0"/>
          <w:bCs w:val="0"/>
          <w:i w:val="0"/>
          <w:iCs w:val="0"/>
          <w:smallCaps w:val="0"/>
          <w:strike w:val="0"/>
          <w:spacing w:val="0"/>
          <w:w w:val="100"/>
          <w:position w:val="0"/>
          <w:sz w:val="44"/>
          <w:szCs w:val="44"/>
          <w:lang w:val="en-US" w:eastAsia="zh-CN"/>
        </w:rPr>
        <w:t>以工代赈促进当地群众就业增收</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b w:val="0"/>
          <w:bCs w:val="0"/>
          <w:i w:val="0"/>
          <w:iCs w:val="0"/>
          <w:smallCaps w:val="0"/>
          <w:strike w:val="0"/>
          <w:spacing w:val="0"/>
          <w:w w:val="100"/>
          <w:position w:val="0"/>
          <w:sz w:val="44"/>
          <w:szCs w:val="44"/>
          <w:lang w:val="en-US" w:eastAsia="zh-CN"/>
        </w:rPr>
        <w:t>的实施方案》的通知</w:t>
      </w:r>
    </w:p>
    <w:p>
      <w:pPr>
        <w:pStyle w:val="15"/>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eastAsia" w:asciiTheme="minorEastAsia" w:hAnsiTheme="minorEastAsia" w:eastAsiaTheme="minorEastAsia" w:cstheme="minorEastAsia"/>
          <w:lang w:eastAsia="zh-CN"/>
        </w:rPr>
      </w:pP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jc w:val="left"/>
        <w:textAlignment w:val="auto"/>
        <w:outlineLvl w:val="9"/>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风陵渡经济开发区，各乡（镇）人民政府，县直有关单位：</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640" w:firstLineChars="200"/>
        <w:textAlignment w:val="auto"/>
        <w:outlineLvl w:val="9"/>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《关于在全县重点工程项目中大力实施以工代赈促进当地群众就业增收的实施方案》，已经县人民政府同意，现印发给你们，请认真贯彻落实。</w:t>
      </w:r>
    </w:p>
    <w:p>
      <w:pPr>
        <w:pStyle w:val="2"/>
        <w:keepNext w:val="0"/>
        <w:keepLines w:val="0"/>
        <w:pageBreakBefore w:val="0"/>
        <w:widowControl w:val="0"/>
        <w:kinsoku/>
        <w:wordWrap/>
        <w:overflowPunct/>
        <w:topLinePunct w:val="0"/>
        <w:autoSpaceDE/>
        <w:autoSpaceDN/>
        <w:bidi w:val="0"/>
        <w:adjustRightInd w:val="0"/>
        <w:snapToGrid w:val="0"/>
        <w:spacing w:line="500" w:lineRule="exact"/>
        <w:ind w:left="0" w:leftChars="0" w:firstLine="0" w:firstLineChars="0"/>
        <w:textAlignment w:val="auto"/>
        <w:rPr>
          <w:rFonts w:hint="eastAsia" w:ascii="仿宋_GB2312" w:hAnsi="仿宋_GB2312" w:eastAsia="仿宋_GB2312" w:cs="仿宋_GB2312"/>
          <w:spacing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4480" w:firstLineChars="14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00" w:lineRule="exact"/>
        <w:ind w:right="0" w:rightChars="0" w:firstLine="4800" w:firstLineChars="15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芮城县发展和改革局</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4800" w:firstLineChars="15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2023年12月5日</w:t>
      </w:r>
    </w:p>
    <w:p>
      <w:pPr>
        <w:pStyle w:val="2"/>
        <w:keepNext w:val="0"/>
        <w:keepLines w:val="0"/>
        <w:pageBreakBefore w:val="0"/>
        <w:widowControl w:val="0"/>
        <w:kinsoku/>
        <w:wordWrap/>
        <w:overflowPunct/>
        <w:topLinePunct w:val="0"/>
        <w:autoSpaceDE/>
        <w:autoSpaceDN/>
        <w:bidi w:val="0"/>
        <w:adjustRightInd w:val="0"/>
        <w:snapToGrid w:val="0"/>
        <w:spacing w:after="0" w:afterLines="0" w:line="5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after="0" w:afterLines="0" w:line="500" w:lineRule="exact"/>
        <w:ind w:left="0" w:leftChars="0" w:right="0" w:rightChars="0" w:firstLine="640" w:firstLineChars="200"/>
        <w:jc w:val="both"/>
        <w:textAlignment w:val="auto"/>
        <w:outlineLvl w:val="9"/>
        <w:rPr>
          <w:rFonts w:hint="default"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（此件公开发布）</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jc w:val="both"/>
        <w:textAlignment w:val="auto"/>
        <w:rPr>
          <w:rFonts w:hint="eastAsia" w:ascii="仿宋_GB2312" w:hAnsi="仿宋_GB2312" w:eastAsia="仿宋_GB2312" w:cs="仿宋_GB2312"/>
          <w:kern w:val="2"/>
          <w:sz w:val="32"/>
          <w:szCs w:val="32"/>
          <w:lang w:val="en-US" w:eastAsia="zh-CN" w:bidi="ar-SA"/>
        </w:rPr>
        <w:sectPr>
          <w:pgSz w:w="11906" w:h="16838"/>
          <w:pgMar w:top="1871" w:right="1474" w:bottom="1871" w:left="1587" w:header="851" w:footer="1417" w:gutter="0"/>
          <w:pgNumType w:fmt="numberInDash" w:start="2"/>
          <w:cols w:space="0" w:num="1"/>
          <w:rtlGutter w:val="0"/>
          <w:docGrid w:type="lines" w:linePitch="324" w:charSpace="0"/>
        </w:sectPr>
      </w:pP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650" w:lineRule="exact"/>
        <w:jc w:val="center"/>
        <w:textAlignment w:val="auto"/>
        <w:outlineLvl w:val="0"/>
        <w:rPr>
          <w:rFonts w:hint="eastAsia" w:ascii="方正小标宋简体" w:hAnsi="方正小标宋简体" w:eastAsia="方正小标宋简体" w:cs="方正小标宋简体"/>
          <w:b w:val="0"/>
          <w:bCs/>
          <w:spacing w:val="-6"/>
          <w:sz w:val="44"/>
          <w:szCs w:val="44"/>
        </w:rPr>
      </w:pPr>
      <w:r>
        <w:rPr>
          <w:rFonts w:hint="eastAsia" w:ascii="方正小标宋简体" w:hAnsi="方正小标宋简体" w:eastAsia="方正小标宋简体" w:cs="方正小标宋简体"/>
          <w:b w:val="0"/>
          <w:bCs/>
          <w:spacing w:val="-6"/>
          <w:sz w:val="44"/>
          <w:szCs w:val="44"/>
        </w:rPr>
        <w:t>关于在全</w:t>
      </w:r>
      <w:r>
        <w:rPr>
          <w:rFonts w:hint="eastAsia" w:ascii="方正小标宋简体" w:hAnsi="方正小标宋简体" w:eastAsia="方正小标宋简体" w:cs="方正小标宋简体"/>
          <w:b w:val="0"/>
          <w:bCs/>
          <w:spacing w:val="-6"/>
          <w:sz w:val="44"/>
          <w:szCs w:val="44"/>
          <w:lang w:eastAsia="zh-CN"/>
        </w:rPr>
        <w:t>县</w:t>
      </w:r>
      <w:r>
        <w:rPr>
          <w:rFonts w:hint="eastAsia" w:ascii="方正小标宋简体" w:hAnsi="方正小标宋简体" w:eastAsia="方正小标宋简体" w:cs="方正小标宋简体"/>
          <w:b w:val="0"/>
          <w:bCs/>
          <w:spacing w:val="-6"/>
          <w:sz w:val="44"/>
          <w:szCs w:val="44"/>
        </w:rPr>
        <w:t>重点工程项目中大力实施</w:t>
      </w:r>
    </w:p>
    <w:p>
      <w:pPr>
        <w:keepNext w:val="0"/>
        <w:keepLines w:val="0"/>
        <w:pageBreakBefore w:val="0"/>
        <w:widowControl w:val="0"/>
        <w:kinsoku/>
        <w:wordWrap/>
        <w:overflowPunct/>
        <w:topLinePunct w:val="0"/>
        <w:autoSpaceDE/>
        <w:autoSpaceDN/>
        <w:bidi w:val="0"/>
        <w:adjustRightInd w:val="0"/>
        <w:snapToGrid w:val="0"/>
        <w:spacing w:line="650" w:lineRule="exact"/>
        <w:jc w:val="center"/>
        <w:textAlignment w:val="auto"/>
        <w:outlineLvl w:val="0"/>
        <w:rPr>
          <w:rFonts w:hint="eastAsia" w:ascii="方正小标宋简体" w:hAnsi="方正小标宋简体" w:eastAsia="方正小标宋简体" w:cs="方正小标宋简体"/>
          <w:b w:val="0"/>
          <w:bCs/>
          <w:spacing w:val="-6"/>
          <w:sz w:val="44"/>
          <w:szCs w:val="44"/>
        </w:rPr>
      </w:pPr>
      <w:r>
        <w:rPr>
          <w:rFonts w:hint="eastAsia" w:ascii="方正小标宋简体" w:hAnsi="方正小标宋简体" w:eastAsia="方正小标宋简体" w:cs="方正小标宋简体"/>
          <w:b w:val="0"/>
          <w:bCs/>
          <w:spacing w:val="-6"/>
          <w:sz w:val="44"/>
          <w:szCs w:val="44"/>
        </w:rPr>
        <w:t>以工代赈促进当地群众就业增收的实施方案</w:t>
      </w:r>
    </w:p>
    <w:p>
      <w:pPr>
        <w:keepNext w:val="0"/>
        <w:keepLines w:val="0"/>
        <w:pageBreakBefore w:val="0"/>
        <w:widowControl w:val="0"/>
        <w:kinsoku/>
        <w:wordWrap/>
        <w:overflowPunct/>
        <w:topLinePunct w:val="0"/>
        <w:autoSpaceDE/>
        <w:autoSpaceDN/>
        <w:bidi w:val="0"/>
        <w:adjustRightInd w:val="0"/>
        <w:snapToGrid w:val="0"/>
        <w:spacing w:line="650" w:lineRule="exact"/>
        <w:jc w:val="center"/>
        <w:textAlignment w:val="auto"/>
        <w:rPr>
          <w:rFonts w:ascii="Times New Roman" w:hAnsi="楷体_GB2312" w:eastAsia="楷体_GB2312"/>
          <w:b/>
          <w:bCs/>
          <w:sz w:val="32"/>
          <w:szCs w:val="32"/>
        </w:rPr>
      </w:pPr>
    </w:p>
    <w:p>
      <w:pPr>
        <w:keepNext w:val="0"/>
        <w:keepLines w:val="0"/>
        <w:pageBreakBefore w:val="0"/>
        <w:widowControl w:val="0"/>
        <w:kinsoku/>
        <w:wordWrap/>
        <w:overflowPunct/>
        <w:topLinePunct w:val="0"/>
        <w:autoSpaceDE/>
        <w:autoSpaceDN/>
        <w:bidi w:val="0"/>
        <w:adjustRightInd w:val="0"/>
        <w:snapToGrid w:val="0"/>
        <w:spacing w:line="6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为深入开展我县重点工程项目实施以工代赈工作，巩固脱贫攻坚成果，全面落实就业优先战略和乡村振兴战略。根据运城市发展改革委《印发关于在全市重点工程项目中大力实施以工代赈促进当地群众就业增收的实施方案的通知》（运发改农经发〔2023〕137号）精神，结合我县实际，制定本实施方案。</w:t>
      </w:r>
    </w:p>
    <w:p>
      <w:pPr>
        <w:keepNext w:val="0"/>
        <w:keepLines w:val="0"/>
        <w:pageBreakBefore w:val="0"/>
        <w:widowControl w:val="0"/>
        <w:kinsoku/>
        <w:wordWrap/>
        <w:overflowPunct/>
        <w:topLinePunct w:val="0"/>
        <w:autoSpaceDE/>
        <w:autoSpaceDN/>
        <w:bidi w:val="0"/>
        <w:adjustRightInd w:val="0"/>
        <w:snapToGrid w:val="0"/>
        <w:spacing w:line="650" w:lineRule="exact"/>
        <w:ind w:left="0" w:firstLine="640" w:firstLineChars="200"/>
        <w:textAlignment w:val="auto"/>
        <w:outlineLvl w:val="0"/>
        <w:rPr>
          <w:rFonts w:hint="eastAsia" w:ascii="Times New Roman" w:hAnsi="Times New Roman" w:eastAsia="黑体" w:cs="Times New Roman"/>
          <w:bCs/>
          <w:kern w:val="44"/>
          <w:sz w:val="32"/>
          <w:szCs w:val="32"/>
        </w:rPr>
      </w:pPr>
      <w:r>
        <w:rPr>
          <w:rFonts w:hint="eastAsia" w:ascii="Times New Roman" w:hAnsi="Times New Roman" w:eastAsia="黑体" w:cs="Times New Roman"/>
          <w:bCs/>
          <w:kern w:val="44"/>
          <w:sz w:val="32"/>
          <w:szCs w:val="32"/>
        </w:rPr>
        <w:t>一、重要意义</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50" w:lineRule="exact"/>
        <w:ind w:right="0" w:firstLine="640" w:firstLineChars="200"/>
        <w:jc w:val="both"/>
        <w:textAlignment w:val="auto"/>
        <w:rPr>
          <w:rFonts w:hint="default" w:ascii="仿宋_GB2312" w:hAnsi="仿宋_GB2312" w:eastAsia="仿宋_GB2312" w:cs="仿宋_GB2312"/>
          <w:sz w:val="32"/>
          <w:szCs w:val="32"/>
          <w:lang w:eastAsia="zh-CN"/>
        </w:rPr>
      </w:pPr>
      <w:r>
        <w:rPr>
          <w:rFonts w:hint="default" w:ascii="仿宋_GB2312" w:hAnsi="仿宋_GB2312" w:eastAsia="仿宋_GB2312" w:cs="仿宋_GB2312"/>
          <w:sz w:val="32"/>
          <w:szCs w:val="32"/>
          <w:lang w:eastAsia="zh-CN"/>
        </w:rPr>
        <w:t>以工代赈是促进群众就近就业增收、提高劳动技能的一项重要政策，能为群众特别是农民工、脱贫人口等规模性提供务工岗位，是完善收入分配制度、支持人民群众通过劳动增加收入创造幸福生活的重要方式。重点工程项目投资规模大、受益面广、带动效应强，吸纳当地群众就业潜力巨大，是实施以工代赈的重要载体。在重点工程项目中大力实施以工代赈，</w:t>
      </w:r>
      <w:r>
        <w:rPr>
          <w:rFonts w:hint="eastAsia" w:ascii="仿宋_GB2312" w:hAnsi="仿宋_GB2312" w:eastAsia="仿宋_GB2312" w:cs="仿宋_GB2312"/>
          <w:sz w:val="32"/>
          <w:szCs w:val="32"/>
          <w:lang w:eastAsia="zh-CN"/>
        </w:rPr>
        <w:t>可广泛吸纳农民工和困难群体就业，实现以就业保增收、</w:t>
      </w:r>
      <w:r>
        <w:rPr>
          <w:rFonts w:hint="default" w:ascii="仿宋_GB2312" w:hAnsi="仿宋_GB2312" w:eastAsia="仿宋_GB2312" w:cs="仿宋_GB2312"/>
          <w:sz w:val="32"/>
          <w:szCs w:val="32"/>
          <w:lang w:eastAsia="zh-CN"/>
        </w:rPr>
        <w:t>稳就业保民生、拉动县域消费、稳住经济</w:t>
      </w:r>
      <w:r>
        <w:rPr>
          <w:rFonts w:hint="eastAsia" w:ascii="仿宋_GB2312" w:hAnsi="仿宋_GB2312" w:eastAsia="仿宋_GB2312" w:cs="仿宋_GB2312"/>
          <w:sz w:val="32"/>
          <w:szCs w:val="32"/>
          <w:lang w:eastAsia="zh-CN"/>
        </w:rPr>
        <w:t>大</w:t>
      </w:r>
      <w:r>
        <w:rPr>
          <w:rFonts w:hint="default" w:ascii="仿宋_GB2312" w:hAnsi="仿宋_GB2312" w:eastAsia="仿宋_GB2312" w:cs="仿宋_GB2312"/>
          <w:sz w:val="32"/>
          <w:szCs w:val="32"/>
          <w:lang w:eastAsia="zh-CN"/>
        </w:rPr>
        <w:t>盘的重要举措，</w:t>
      </w:r>
      <w:r>
        <w:rPr>
          <w:rFonts w:hint="eastAsia" w:ascii="仿宋_GB2312" w:hAnsi="仿宋_GB2312" w:eastAsia="仿宋_GB2312" w:cs="仿宋_GB2312"/>
          <w:sz w:val="32"/>
          <w:szCs w:val="32"/>
          <w:lang w:eastAsia="zh-CN"/>
        </w:rPr>
        <w:t>也是</w:t>
      </w:r>
      <w:r>
        <w:rPr>
          <w:rFonts w:hint="default" w:ascii="仿宋_GB2312" w:hAnsi="仿宋_GB2312" w:eastAsia="仿宋_GB2312" w:cs="仿宋_GB2312"/>
          <w:sz w:val="32"/>
          <w:szCs w:val="32"/>
          <w:lang w:eastAsia="zh-CN"/>
        </w:rPr>
        <w:t>提高劳动</w:t>
      </w:r>
      <w:r>
        <w:rPr>
          <w:rFonts w:hint="default" w:ascii="仿宋_GB2312" w:hAnsi="仿宋_GB2312" w:eastAsia="仿宋_GB2312" w:cs="仿宋_GB2312"/>
          <w:spacing w:val="-6"/>
          <w:sz w:val="32"/>
          <w:szCs w:val="32"/>
          <w:lang w:eastAsia="zh-CN"/>
        </w:rPr>
        <w:t>者素质、缩小城乡发展和收入差距、</w:t>
      </w:r>
      <w:r>
        <w:rPr>
          <w:rFonts w:hint="eastAsia" w:ascii="仿宋_GB2312" w:hAnsi="仿宋_GB2312" w:eastAsia="仿宋_GB2312" w:cs="仿宋_GB2312"/>
          <w:spacing w:val="-6"/>
          <w:sz w:val="32"/>
          <w:szCs w:val="32"/>
          <w:lang w:eastAsia="zh-CN"/>
        </w:rPr>
        <w:t>推动</w:t>
      </w:r>
      <w:r>
        <w:rPr>
          <w:rFonts w:hint="default" w:ascii="仿宋_GB2312" w:hAnsi="仿宋_GB2312" w:eastAsia="仿宋_GB2312" w:cs="仿宋_GB2312"/>
          <w:spacing w:val="-6"/>
          <w:sz w:val="32"/>
          <w:szCs w:val="32"/>
          <w:lang w:eastAsia="zh-CN"/>
        </w:rPr>
        <w:t>实现共同富裕</w:t>
      </w:r>
      <w:r>
        <w:rPr>
          <w:rFonts w:hint="eastAsia" w:ascii="仿宋_GB2312" w:hAnsi="仿宋_GB2312" w:eastAsia="仿宋_GB2312" w:cs="仿宋_GB2312"/>
          <w:spacing w:val="-6"/>
          <w:sz w:val="32"/>
          <w:szCs w:val="32"/>
          <w:lang w:eastAsia="zh-CN"/>
        </w:rPr>
        <w:t>的重要途径</w:t>
      </w:r>
      <w:r>
        <w:rPr>
          <w:rFonts w:hint="default" w:ascii="仿宋_GB2312" w:hAnsi="仿宋_GB2312" w:eastAsia="仿宋_GB2312" w:cs="仿宋_GB2312"/>
          <w:spacing w:val="-6"/>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50" w:lineRule="exact"/>
        <w:ind w:left="0" w:firstLine="640" w:firstLineChars="200"/>
        <w:textAlignment w:val="auto"/>
        <w:outlineLvl w:val="0"/>
        <w:rPr>
          <w:rFonts w:hint="eastAsia" w:ascii="Times New Roman" w:hAnsi="Times New Roman" w:eastAsia="黑体" w:cs="Times New Roman"/>
          <w:bCs/>
          <w:kern w:val="44"/>
          <w:sz w:val="32"/>
          <w:szCs w:val="32"/>
        </w:rPr>
      </w:pPr>
      <w:r>
        <w:rPr>
          <w:rFonts w:hint="eastAsia" w:ascii="Times New Roman" w:hAnsi="Times New Roman" w:eastAsia="黑体" w:cs="Times New Roman"/>
          <w:bCs/>
          <w:kern w:val="44"/>
          <w:sz w:val="32"/>
          <w:szCs w:val="32"/>
        </w:rPr>
        <w:t>二、总体要求</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50" w:lineRule="exact"/>
        <w:ind w:right="0" w:firstLine="640" w:firstLineChars="200"/>
        <w:jc w:val="both"/>
        <w:textAlignment w:val="auto"/>
        <w:rPr>
          <w:rFonts w:hint="default"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坚持</w:t>
      </w:r>
      <w:r>
        <w:rPr>
          <w:rFonts w:hint="default" w:ascii="仿宋_GB2312" w:hAnsi="仿宋_GB2312" w:eastAsia="仿宋_GB2312" w:cs="仿宋_GB2312"/>
          <w:sz w:val="32"/>
          <w:szCs w:val="32"/>
          <w:lang w:eastAsia="zh-CN"/>
        </w:rPr>
        <w:t>以习近平新时代中国特色社会主义思想为指导，完整、准确、全面贯彻新发展理念，</w:t>
      </w:r>
      <w:r>
        <w:rPr>
          <w:rFonts w:hint="eastAsia" w:ascii="仿宋_GB2312" w:hAnsi="仿宋_GB2312" w:eastAsia="仿宋_GB2312" w:cs="仿宋_GB2312"/>
          <w:sz w:val="32"/>
          <w:szCs w:val="32"/>
          <w:lang w:eastAsia="zh-CN"/>
        </w:rPr>
        <w:t>坚持以人民为中心的发展思想，</w:t>
      </w:r>
      <w:r>
        <w:rPr>
          <w:rFonts w:hint="default" w:ascii="仿宋_GB2312" w:hAnsi="仿宋_GB2312" w:eastAsia="仿宋_GB2312" w:cs="仿宋_GB2312"/>
          <w:sz w:val="32"/>
          <w:szCs w:val="32"/>
          <w:lang w:eastAsia="zh-CN"/>
        </w:rPr>
        <w:t>进一步扩大以工代赈规模，</w:t>
      </w:r>
      <w:r>
        <w:rPr>
          <w:rFonts w:hint="eastAsia" w:ascii="仿宋_GB2312" w:hAnsi="仿宋_GB2312" w:eastAsia="仿宋_GB2312" w:cs="仿宋_GB2312"/>
          <w:sz w:val="32"/>
          <w:szCs w:val="32"/>
          <w:lang w:eastAsia="zh-CN"/>
        </w:rPr>
        <w:t>充分发挥以工代赈政策拓岗位、稳就业、保民生、提素质的重要作用。</w:t>
      </w:r>
      <w:r>
        <w:rPr>
          <w:rFonts w:hint="default" w:ascii="仿宋_GB2312" w:hAnsi="仿宋_GB2312" w:eastAsia="仿宋_GB2312" w:cs="仿宋_GB2312"/>
          <w:sz w:val="32"/>
          <w:szCs w:val="32"/>
          <w:lang w:eastAsia="zh-CN"/>
        </w:rPr>
        <w:t>通过在重点工程项目中大力实施以工代赈，有效带动大量群众特别是低收入群体、脱贫人口、防止返贫监测对象、</w:t>
      </w:r>
      <w:r>
        <w:rPr>
          <w:rFonts w:hint="eastAsia" w:ascii="仿宋_GB2312" w:hAnsi="仿宋_GB2312" w:eastAsia="仿宋_GB2312" w:cs="仿宋_GB2312"/>
          <w:sz w:val="32"/>
          <w:szCs w:val="32"/>
          <w:lang w:eastAsia="zh-CN"/>
        </w:rPr>
        <w:t>城乡</w:t>
      </w:r>
      <w:r>
        <w:rPr>
          <w:rFonts w:hint="default" w:ascii="仿宋_GB2312" w:hAnsi="仿宋_GB2312" w:eastAsia="仿宋_GB2312" w:cs="仿宋_GB2312"/>
          <w:sz w:val="32"/>
          <w:szCs w:val="32"/>
          <w:lang w:eastAsia="zh-CN"/>
        </w:rPr>
        <w:t>就业困难群众参与重点工程项目建设，实现就地就近就业、提高就业技能、激发内生动力、拓宽收入渠道，将其作为持续巩固拓展脱贫攻坚成果同乡村振兴有效衔接</w:t>
      </w:r>
      <w:r>
        <w:rPr>
          <w:rFonts w:hint="eastAsia" w:ascii="仿宋_GB2312" w:hAnsi="仿宋_GB2312" w:eastAsia="仿宋_GB2312" w:cs="仿宋_GB2312"/>
          <w:sz w:val="32"/>
          <w:szCs w:val="32"/>
          <w:lang w:eastAsia="zh-CN"/>
        </w:rPr>
        <w:t>的</w:t>
      </w:r>
      <w:r>
        <w:rPr>
          <w:rFonts w:hint="default" w:ascii="仿宋_GB2312" w:hAnsi="仿宋_GB2312" w:eastAsia="仿宋_GB2312" w:cs="仿宋_GB2312"/>
          <w:sz w:val="32"/>
          <w:szCs w:val="32"/>
          <w:lang w:eastAsia="zh-CN"/>
        </w:rPr>
        <w:t>重要举措，有力推动全</w:t>
      </w:r>
      <w:r>
        <w:rPr>
          <w:rFonts w:hint="eastAsia" w:ascii="仿宋_GB2312" w:hAnsi="仿宋_GB2312" w:eastAsia="仿宋_GB2312" w:cs="仿宋_GB2312"/>
          <w:sz w:val="32"/>
          <w:szCs w:val="32"/>
          <w:lang w:eastAsia="zh-CN"/>
        </w:rPr>
        <w:t>县</w:t>
      </w:r>
      <w:r>
        <w:rPr>
          <w:rFonts w:hint="default" w:ascii="仿宋_GB2312" w:hAnsi="仿宋_GB2312" w:eastAsia="仿宋_GB2312" w:cs="仿宋_GB2312"/>
          <w:sz w:val="32"/>
          <w:szCs w:val="32"/>
          <w:lang w:eastAsia="zh-CN"/>
        </w:rPr>
        <w:t>经济社会高质量发展。</w:t>
      </w:r>
    </w:p>
    <w:p>
      <w:pPr>
        <w:keepNext w:val="0"/>
        <w:keepLines w:val="0"/>
        <w:pageBreakBefore w:val="0"/>
        <w:widowControl w:val="0"/>
        <w:kinsoku/>
        <w:wordWrap/>
        <w:overflowPunct/>
        <w:topLinePunct w:val="0"/>
        <w:autoSpaceDE/>
        <w:autoSpaceDN/>
        <w:bidi w:val="0"/>
        <w:adjustRightInd w:val="0"/>
        <w:snapToGrid w:val="0"/>
        <w:spacing w:line="650" w:lineRule="exact"/>
        <w:ind w:left="0" w:firstLine="640" w:firstLineChars="200"/>
        <w:textAlignment w:val="auto"/>
        <w:outlineLvl w:val="0"/>
        <w:rPr>
          <w:rFonts w:hint="eastAsia" w:ascii="Times New Roman" w:hAnsi="Times New Roman" w:eastAsia="黑体" w:cs="Times New Roman"/>
          <w:bCs/>
          <w:kern w:val="44"/>
          <w:sz w:val="32"/>
          <w:szCs w:val="32"/>
        </w:rPr>
      </w:pPr>
      <w:r>
        <w:rPr>
          <w:rFonts w:hint="eastAsia" w:ascii="Times New Roman" w:hAnsi="Times New Roman" w:eastAsia="黑体" w:cs="Times New Roman"/>
          <w:bCs/>
          <w:kern w:val="44"/>
          <w:sz w:val="32"/>
          <w:szCs w:val="32"/>
        </w:rPr>
        <w:t>三、实施范围</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50" w:lineRule="exact"/>
        <w:ind w:right="0" w:firstLine="640" w:firstLineChars="200"/>
        <w:jc w:val="both"/>
        <w:textAlignment w:val="auto"/>
        <w:rPr>
          <w:rFonts w:hint="default"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有关部门</w:t>
      </w:r>
      <w:r>
        <w:rPr>
          <w:rFonts w:hint="default" w:ascii="仿宋_GB2312" w:hAnsi="仿宋_GB2312" w:eastAsia="仿宋_GB2312" w:cs="仿宋_GB2312"/>
          <w:sz w:val="32"/>
          <w:szCs w:val="32"/>
          <w:lang w:eastAsia="zh-CN"/>
        </w:rPr>
        <w:t>在谋划实施</w:t>
      </w:r>
      <w:r>
        <w:rPr>
          <w:rFonts w:hint="eastAsia" w:ascii="仿宋_GB2312" w:hAnsi="仿宋_GB2312" w:eastAsia="仿宋_GB2312" w:cs="仿宋_GB2312"/>
          <w:sz w:val="32"/>
          <w:szCs w:val="32"/>
          <w:lang w:eastAsia="zh-CN"/>
        </w:rPr>
        <w:t>财政资金、政策性开发性金融工具和地方政府专项债等</w:t>
      </w:r>
      <w:r>
        <w:rPr>
          <w:rFonts w:hint="default" w:ascii="仿宋_GB2312" w:hAnsi="仿宋_GB2312" w:eastAsia="仿宋_GB2312" w:cs="仿宋_GB2312"/>
          <w:sz w:val="32"/>
          <w:szCs w:val="32"/>
          <w:lang w:eastAsia="zh-CN"/>
        </w:rPr>
        <w:t>政府投资的重点工程项目时，要妥善处理好工程建设与促进当地群众就业增收的关系，深刻把握以工代赈政策初衷，在确保工程质量安全和符合进度要求等前提下，按照“应用尽用、能用尽用”的原则，结合当地群众务工需求，充分挖掘主体工程建设及附属临建、工地服务保障、建后管护等方面用工潜力，在平衡好建筑行业劳动合同制用工和以工代赈劳务用工之间关系的基础上，尽可能多地通过实施以工代赈帮助当地群众就近务工实现就业增收。鼓励非政府投资的重点工程项目积极采取以工代赈方式扩大就业容量。</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50" w:lineRule="exact"/>
        <w:ind w:right="0" w:firstLine="640" w:firstLineChars="200"/>
        <w:jc w:val="both"/>
        <w:textAlignment w:val="auto"/>
        <w:rPr>
          <w:rFonts w:hint="eastAsia" w:ascii="仿宋_GB2312" w:hAnsi="仿宋_GB2312" w:eastAsia="仿宋_GB2312" w:cs="仿宋_GB2312"/>
          <w:sz w:val="32"/>
          <w:szCs w:val="32"/>
          <w:lang w:eastAsia="zh-CN"/>
        </w:rPr>
      </w:pPr>
      <w:r>
        <w:rPr>
          <w:rFonts w:hint="default" w:ascii="仿宋_GB2312" w:hAnsi="仿宋_GB2312" w:eastAsia="仿宋_GB2312" w:cs="仿宋_GB2312"/>
          <w:sz w:val="32"/>
          <w:szCs w:val="32"/>
          <w:lang w:eastAsia="zh-CN"/>
        </w:rPr>
        <w:t>全</w:t>
      </w:r>
      <w:r>
        <w:rPr>
          <w:rFonts w:hint="eastAsia" w:ascii="仿宋_GB2312" w:hAnsi="仿宋_GB2312" w:eastAsia="仿宋_GB2312" w:cs="仿宋_GB2312"/>
          <w:sz w:val="32"/>
          <w:szCs w:val="32"/>
          <w:lang w:eastAsia="zh-CN"/>
        </w:rPr>
        <w:t>县</w:t>
      </w:r>
      <w:r>
        <w:rPr>
          <w:rFonts w:hint="default" w:ascii="仿宋_GB2312" w:hAnsi="仿宋_GB2312" w:eastAsia="仿宋_GB2312" w:cs="仿宋_GB2312"/>
          <w:sz w:val="32"/>
          <w:szCs w:val="32"/>
          <w:lang w:eastAsia="zh-CN"/>
        </w:rPr>
        <w:t>实施以工代赈的重点工程项目范围包括交通、水利、能源、农业农村、城镇建设、生态环境、灾后恢复重建等7大建设领域。各部门参照</w:t>
      </w:r>
      <w:r>
        <w:rPr>
          <w:rFonts w:hint="default" w:ascii="仿宋_GB2312" w:hAnsi="仿宋_GB2312" w:eastAsia="仿宋_GB2312" w:cs="仿宋_GB2312"/>
          <w:color w:val="000000" w:themeColor="text1"/>
          <w:sz w:val="32"/>
          <w:szCs w:val="32"/>
          <w:lang w:eastAsia="zh-CN"/>
          <w14:textFill>
            <w14:solidFill>
              <w14:schemeClr w14:val="tx1"/>
            </w14:solidFill>
          </w14:textFill>
        </w:rPr>
        <w:t>《全</w:t>
      </w:r>
      <w:r>
        <w:rPr>
          <w:rFonts w:hint="eastAsia" w:ascii="仿宋_GB2312" w:hAnsi="仿宋_GB2312" w:eastAsia="仿宋_GB2312" w:cs="仿宋_GB2312"/>
          <w:color w:val="000000" w:themeColor="text1"/>
          <w:sz w:val="32"/>
          <w:szCs w:val="32"/>
          <w:lang w:eastAsia="zh-CN"/>
          <w14:textFill>
            <w14:solidFill>
              <w14:schemeClr w14:val="tx1"/>
            </w14:solidFill>
          </w14:textFill>
        </w:rPr>
        <w:t>县</w:t>
      </w:r>
      <w:r>
        <w:rPr>
          <w:rFonts w:hint="default" w:ascii="仿宋_GB2312" w:hAnsi="仿宋_GB2312" w:eastAsia="仿宋_GB2312" w:cs="仿宋_GB2312"/>
          <w:color w:val="000000" w:themeColor="text1"/>
          <w:sz w:val="32"/>
          <w:szCs w:val="32"/>
          <w:lang w:eastAsia="zh-CN"/>
          <w14:textFill>
            <w14:solidFill>
              <w14:schemeClr w14:val="tx1"/>
            </w14:solidFill>
          </w14:textFill>
        </w:rPr>
        <w:t>重点工程项目中能够实施以工代赈的建设任务和用工环节指导目录》</w:t>
      </w:r>
      <w:r>
        <w:rPr>
          <w:rFonts w:hint="default" w:ascii="仿宋_GB2312" w:hAnsi="仿宋_GB2312" w:eastAsia="仿宋_GB2312" w:cs="仿宋_GB2312"/>
          <w:sz w:val="32"/>
          <w:szCs w:val="32"/>
          <w:lang w:eastAsia="zh-CN"/>
        </w:rPr>
        <w:t>提出的建设任务和用工环节，因地制宜开展以工代赈工作。</w:t>
      </w:r>
      <w:r>
        <w:rPr>
          <w:rFonts w:hint="eastAsia" w:ascii="仿宋_GB2312" w:hAnsi="仿宋_GB2312" w:eastAsia="仿宋_GB2312" w:cs="仿宋_GB2312"/>
          <w:sz w:val="32"/>
          <w:szCs w:val="32"/>
          <w:lang w:eastAsia="zh-CN"/>
        </w:rPr>
        <w:t>（责任单位：风陵渡经济开发区、县发改局、县教育局、县民政局、县财政局、县人社局、县自然资源局、市生态环境局芮城分局、县住建局、县交通局、县水利局、县农业农村局、县文旅局、县卫健体局、县应急局、县行政审批服务管理局、县能源局、县乡村振兴服务中心、</w:t>
      </w:r>
      <w:r>
        <w:rPr>
          <w:rFonts w:hint="eastAsia" w:ascii="仿宋_GB2312" w:hAnsi="仿宋_GB2312" w:eastAsia="仿宋_GB2312" w:cs="仿宋_GB2312"/>
          <w:sz w:val="32"/>
          <w:szCs w:val="32"/>
          <w:highlight w:val="none"/>
          <w:lang w:eastAsia="zh-CN"/>
        </w:rPr>
        <w:t>县项目推进中心、</w:t>
      </w:r>
      <w:r>
        <w:rPr>
          <w:rFonts w:hint="eastAsia" w:ascii="仿宋_GB2312" w:hAnsi="仿宋_GB2312" w:eastAsia="仿宋_GB2312" w:cs="仿宋_GB2312"/>
          <w:sz w:val="32"/>
          <w:szCs w:val="32"/>
          <w:lang w:eastAsia="zh-CN"/>
        </w:rPr>
        <w:t>县通用机场服务中心，风陵渡经济开发区，以下简称“县级协调机制成员单位”；</w:t>
      </w:r>
      <w:r>
        <w:rPr>
          <w:rFonts w:hint="eastAsia" w:ascii="仿宋_GB2312" w:hAnsi="仿宋_GB2312" w:eastAsia="仿宋_GB2312" w:cs="仿宋_GB2312"/>
          <w:color w:val="000000" w:themeColor="text1"/>
          <w:sz w:val="32"/>
          <w:szCs w:val="32"/>
          <w:lang w:eastAsia="zh-CN"/>
          <w14:textFill>
            <w14:solidFill>
              <w14:schemeClr w14:val="tx1"/>
            </w14:solidFill>
          </w14:textFill>
        </w:rPr>
        <w:t>各乡（镇）人民政府</w:t>
      </w:r>
      <w:r>
        <w:rPr>
          <w:rFonts w:hint="eastAsia" w:ascii="仿宋_GB2312" w:hAnsi="仿宋_GB2312" w:eastAsia="仿宋_GB2312" w:cs="仿宋_GB2312"/>
          <w:sz w:val="32"/>
          <w:szCs w:val="32"/>
          <w:lang w:eastAsia="zh-CN"/>
        </w:rPr>
        <w:t>）</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50" w:lineRule="exact"/>
        <w:ind w:left="0" w:right="0" w:firstLine="640" w:firstLineChars="200"/>
        <w:jc w:val="both"/>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val="0"/>
          <w:bCs w:val="0"/>
          <w:sz w:val="32"/>
          <w:szCs w:val="32"/>
        </w:rPr>
        <w:t>（一）交通领域：</w:t>
      </w:r>
      <w:r>
        <w:rPr>
          <w:rFonts w:hint="default" w:ascii="仿宋_GB2312" w:hAnsi="仿宋_GB2312" w:eastAsia="仿宋_GB2312" w:cs="仿宋_GB2312"/>
          <w:sz w:val="32"/>
          <w:szCs w:val="32"/>
          <w:lang w:eastAsia="zh-CN"/>
        </w:rPr>
        <w:t>主要包括高速公路、机场、综合交通和物流枢纽等。</w:t>
      </w:r>
      <w:r>
        <w:rPr>
          <w:rFonts w:hint="eastAsia" w:ascii="仿宋_GB2312" w:hAnsi="仿宋_GB2312" w:eastAsia="仿宋_GB2312" w:cs="仿宋_GB2312"/>
          <w:sz w:val="32"/>
          <w:szCs w:val="32"/>
          <w:lang w:eastAsia="zh-CN"/>
        </w:rPr>
        <w:t>（责任单位：县交通局、县行政审批服务管理局、县通用机场服务中心，各乡（镇）人民政府）</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50" w:lineRule="exact"/>
        <w:ind w:left="0" w:right="0" w:firstLine="640" w:firstLineChars="200"/>
        <w:jc w:val="both"/>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val="0"/>
          <w:bCs w:val="0"/>
          <w:sz w:val="32"/>
          <w:szCs w:val="32"/>
        </w:rPr>
        <w:t>（二）水利领域：</w:t>
      </w:r>
      <w:r>
        <w:rPr>
          <w:rFonts w:hint="default" w:ascii="仿宋_GB2312" w:hAnsi="仿宋_GB2312" w:eastAsia="仿宋_GB2312" w:cs="仿宋_GB2312"/>
          <w:sz w:val="32"/>
          <w:szCs w:val="32"/>
          <w:lang w:eastAsia="zh-CN"/>
        </w:rPr>
        <w:t>主要包括水库建设、大中型灌区新建和配套改造、河流防洪治理等。</w:t>
      </w:r>
      <w:r>
        <w:rPr>
          <w:rFonts w:hint="eastAsia" w:ascii="仿宋_GB2312" w:hAnsi="仿宋_GB2312" w:eastAsia="仿宋_GB2312" w:cs="仿宋_GB2312"/>
          <w:sz w:val="32"/>
          <w:szCs w:val="32"/>
          <w:lang w:eastAsia="zh-CN"/>
        </w:rPr>
        <w:t>（责任单位：县水利局、县行政审批服务管理局，各乡（镇）人民政府）</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50" w:lineRule="exact"/>
        <w:ind w:left="0" w:right="0" w:firstLine="640" w:firstLineChars="200"/>
        <w:jc w:val="both"/>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val="0"/>
          <w:bCs w:val="0"/>
          <w:sz w:val="32"/>
          <w:szCs w:val="32"/>
        </w:rPr>
        <w:t>（三）能源领域：</w:t>
      </w:r>
      <w:r>
        <w:rPr>
          <w:rFonts w:hint="default" w:ascii="仿宋_GB2312" w:hAnsi="仿宋_GB2312" w:eastAsia="仿宋_GB2312" w:cs="仿宋_GB2312"/>
          <w:sz w:val="32"/>
          <w:szCs w:val="32"/>
          <w:lang w:eastAsia="zh-CN"/>
        </w:rPr>
        <w:t>主要包括</w:t>
      </w:r>
      <w:r>
        <w:rPr>
          <w:rFonts w:hint="eastAsia" w:ascii="CESI仿宋-GB2312" w:hAnsi="CESI仿宋-GB2312" w:eastAsia="CESI仿宋-GB2312" w:cs="CESI仿宋-GB2312"/>
          <w:b w:val="0"/>
          <w:bCs w:val="0"/>
          <w:sz w:val="32"/>
          <w:szCs w:val="32"/>
          <w:lang w:eastAsia="zh-CN"/>
        </w:rPr>
        <w:t>电力、油气管道、</w:t>
      </w:r>
      <w:r>
        <w:rPr>
          <w:rFonts w:hint="default" w:ascii="仿宋_GB2312" w:hAnsi="仿宋_GB2312" w:eastAsia="仿宋_GB2312" w:cs="仿宋_GB2312"/>
          <w:sz w:val="32"/>
          <w:szCs w:val="32"/>
          <w:lang w:eastAsia="zh-CN"/>
        </w:rPr>
        <w:t>可再生能源开发利用等</w:t>
      </w:r>
      <w:r>
        <w:rPr>
          <w:rFonts w:hint="eastAsia" w:ascii="仿宋_GB2312" w:hAnsi="仿宋_GB2312" w:eastAsia="仿宋_GB2312" w:cs="仿宋_GB2312"/>
          <w:sz w:val="32"/>
          <w:szCs w:val="32"/>
          <w:lang w:eastAsia="zh-CN"/>
        </w:rPr>
        <w:t>。（责任单位：县能源局、县行政审批服务管理局，各乡（镇）人民政府）</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50" w:lineRule="exact"/>
        <w:ind w:left="0" w:right="0" w:firstLine="640" w:firstLineChars="200"/>
        <w:jc w:val="both"/>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val="0"/>
          <w:bCs w:val="0"/>
          <w:sz w:val="32"/>
          <w:szCs w:val="32"/>
        </w:rPr>
        <w:t>（四）农业农村领域：</w:t>
      </w:r>
      <w:r>
        <w:rPr>
          <w:rFonts w:hint="default" w:ascii="仿宋_GB2312" w:hAnsi="仿宋_GB2312" w:eastAsia="仿宋_GB2312" w:cs="仿宋_GB2312"/>
          <w:sz w:val="32"/>
          <w:szCs w:val="32"/>
          <w:lang w:eastAsia="zh-CN"/>
        </w:rPr>
        <w:t>主要包括高标准农田、现代农业产业园等产业基础设施、农村人居环境整治提升、农业面源污染治理等。</w:t>
      </w:r>
      <w:r>
        <w:rPr>
          <w:rFonts w:hint="eastAsia" w:ascii="仿宋_GB2312" w:hAnsi="仿宋_GB2312" w:eastAsia="仿宋_GB2312" w:cs="仿宋_GB2312"/>
          <w:sz w:val="32"/>
          <w:szCs w:val="32"/>
          <w:lang w:eastAsia="zh-CN"/>
        </w:rPr>
        <w:t>（责任单位：县农业农村局、县乡村振兴服务中心、县行政审批服务管理局，各乡（镇）人民政府）</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50" w:lineRule="exact"/>
        <w:ind w:left="0" w:right="0" w:firstLine="640" w:firstLineChars="200"/>
        <w:jc w:val="both"/>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val="0"/>
          <w:bCs w:val="0"/>
          <w:sz w:val="32"/>
          <w:szCs w:val="32"/>
        </w:rPr>
        <w:t>（五）城镇建设领域：</w:t>
      </w:r>
      <w:r>
        <w:rPr>
          <w:rFonts w:hint="default" w:ascii="仿宋_GB2312" w:hAnsi="仿宋_GB2312" w:eastAsia="仿宋_GB2312" w:cs="仿宋_GB2312"/>
          <w:sz w:val="32"/>
          <w:szCs w:val="32"/>
          <w:lang w:eastAsia="zh-CN"/>
        </w:rPr>
        <w:t>主要包括</w:t>
      </w:r>
      <w:r>
        <w:rPr>
          <w:rFonts w:hint="eastAsia" w:ascii="仿宋_GB2312" w:hAnsi="仿宋_GB2312" w:eastAsia="仿宋_GB2312" w:cs="仿宋_GB2312"/>
          <w:sz w:val="32"/>
          <w:szCs w:val="32"/>
          <w:lang w:eastAsia="zh-CN"/>
        </w:rPr>
        <w:t>城市</w:t>
      </w:r>
      <w:r>
        <w:rPr>
          <w:rFonts w:hint="default" w:ascii="仿宋_GB2312" w:hAnsi="仿宋_GB2312" w:eastAsia="仿宋_GB2312" w:cs="仿宋_GB2312"/>
          <w:sz w:val="32"/>
          <w:szCs w:val="32"/>
          <w:lang w:eastAsia="zh-CN"/>
        </w:rPr>
        <w:t>更新、</w:t>
      </w:r>
      <w:r>
        <w:rPr>
          <w:rFonts w:hint="eastAsia" w:ascii="仿宋_GB2312" w:hAnsi="仿宋_GB2312" w:eastAsia="仿宋_GB2312" w:cs="仿宋_GB2312"/>
          <w:sz w:val="32"/>
          <w:szCs w:val="32"/>
          <w:lang w:eastAsia="zh-CN"/>
        </w:rPr>
        <w:t>城市</w:t>
      </w:r>
      <w:r>
        <w:rPr>
          <w:rFonts w:hint="default" w:ascii="仿宋_GB2312" w:hAnsi="仿宋_GB2312" w:eastAsia="仿宋_GB2312" w:cs="仿宋_GB2312"/>
          <w:sz w:val="32"/>
          <w:szCs w:val="32"/>
          <w:lang w:eastAsia="zh-CN"/>
        </w:rPr>
        <w:t>地下综合管廊、</w:t>
      </w:r>
      <w:r>
        <w:rPr>
          <w:rFonts w:hint="eastAsia" w:ascii="仿宋_GB2312" w:hAnsi="仿宋_GB2312" w:eastAsia="仿宋_GB2312" w:cs="仿宋_GB2312"/>
          <w:sz w:val="32"/>
          <w:szCs w:val="32"/>
          <w:lang w:eastAsia="zh-CN"/>
        </w:rPr>
        <w:t>城市</w:t>
      </w:r>
      <w:r>
        <w:rPr>
          <w:rFonts w:hint="default" w:ascii="仿宋_GB2312" w:hAnsi="仿宋_GB2312" w:eastAsia="仿宋_GB2312" w:cs="仿宋_GB2312"/>
          <w:sz w:val="32"/>
          <w:szCs w:val="32"/>
          <w:lang w:eastAsia="zh-CN"/>
        </w:rPr>
        <w:t>排水防涝、</w:t>
      </w:r>
      <w:r>
        <w:rPr>
          <w:rFonts w:hint="eastAsia" w:ascii="仿宋_GB2312" w:hAnsi="仿宋_GB2312" w:eastAsia="仿宋_GB2312" w:cs="仿宋_GB2312"/>
          <w:sz w:val="32"/>
          <w:szCs w:val="32"/>
          <w:lang w:eastAsia="zh-CN"/>
        </w:rPr>
        <w:t>城市</w:t>
      </w:r>
      <w:r>
        <w:rPr>
          <w:rFonts w:hint="default" w:ascii="仿宋_GB2312" w:hAnsi="仿宋_GB2312" w:eastAsia="仿宋_GB2312" w:cs="仿宋_GB2312"/>
          <w:sz w:val="32"/>
          <w:szCs w:val="32"/>
          <w:lang w:eastAsia="zh-CN"/>
        </w:rPr>
        <w:t>燃气管道等老化更新改造、保障性住房、县城补短板强弱项、产业园区配套基础设施、城镇污水垃圾处理设施和教育、卫生、文化、体育、旅游公共服务项目等。</w:t>
      </w:r>
      <w:r>
        <w:rPr>
          <w:rFonts w:hint="eastAsia" w:ascii="仿宋_GB2312" w:hAnsi="仿宋_GB2312" w:eastAsia="仿宋_GB2312" w:cs="仿宋_GB2312"/>
          <w:sz w:val="32"/>
          <w:szCs w:val="32"/>
          <w:lang w:eastAsia="zh-CN"/>
        </w:rPr>
        <w:t>（责任单位：县住建局、县教育局、县文旅局、县卫健体局、县行政审批服务管理局，各乡（镇）人民政府）</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50" w:lineRule="exact"/>
        <w:ind w:left="0" w:right="0" w:firstLine="640" w:firstLineChars="200"/>
        <w:jc w:val="both"/>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val="0"/>
          <w:bCs w:val="0"/>
          <w:sz w:val="32"/>
          <w:szCs w:val="32"/>
        </w:rPr>
        <w:t>（六）生态环境领域：</w:t>
      </w:r>
      <w:r>
        <w:rPr>
          <w:rFonts w:hint="default" w:ascii="仿宋_GB2312" w:hAnsi="仿宋_GB2312" w:eastAsia="仿宋_GB2312" w:cs="仿宋_GB2312"/>
          <w:sz w:val="32"/>
          <w:szCs w:val="32"/>
          <w:lang w:eastAsia="zh-CN"/>
        </w:rPr>
        <w:t>主要包括造林绿化、</w:t>
      </w:r>
      <w:r>
        <w:rPr>
          <w:rFonts w:hint="eastAsia" w:ascii="仿宋_GB2312" w:hAnsi="仿宋_GB2312" w:eastAsia="仿宋_GB2312" w:cs="仿宋_GB2312"/>
          <w:sz w:val="32"/>
          <w:szCs w:val="32"/>
          <w:lang w:eastAsia="zh-CN"/>
        </w:rPr>
        <w:t>水土流失综合治理、</w:t>
      </w:r>
      <w:r>
        <w:rPr>
          <w:rFonts w:hint="default" w:ascii="仿宋_GB2312" w:hAnsi="仿宋_GB2312" w:eastAsia="仿宋_GB2312" w:cs="仿宋_GB2312"/>
          <w:sz w:val="32"/>
          <w:szCs w:val="32"/>
          <w:lang w:eastAsia="zh-CN"/>
        </w:rPr>
        <w:t>河湖和湿地保护修复、森林质量精准提升、水生态修复、尾矿库治理等。</w:t>
      </w:r>
      <w:r>
        <w:rPr>
          <w:rFonts w:hint="eastAsia" w:ascii="仿宋_GB2312" w:hAnsi="仿宋_GB2312" w:eastAsia="仿宋_GB2312" w:cs="仿宋_GB2312"/>
          <w:sz w:val="32"/>
          <w:szCs w:val="32"/>
          <w:lang w:eastAsia="zh-CN"/>
        </w:rPr>
        <w:t>（责任单位：县自然资源局、县林业局、市生态环境局芮城分局、县水利局、县行政审批服务管理局，各乡（镇）人民政府）</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50" w:lineRule="exact"/>
        <w:ind w:left="0" w:right="0" w:firstLine="640" w:firstLineChars="200"/>
        <w:jc w:val="both"/>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val="0"/>
          <w:bCs w:val="0"/>
          <w:sz w:val="32"/>
          <w:szCs w:val="32"/>
        </w:rPr>
        <w:t>（七）灾后恢复重建领域：</w:t>
      </w:r>
      <w:r>
        <w:rPr>
          <w:rFonts w:hint="default" w:ascii="仿宋_GB2312" w:hAnsi="仿宋_GB2312" w:eastAsia="仿宋_GB2312" w:cs="仿宋_GB2312"/>
          <w:sz w:val="32"/>
          <w:szCs w:val="32"/>
          <w:lang w:eastAsia="zh-CN"/>
        </w:rPr>
        <w:t>主要包括基础设施和公共服务设施恢复</w:t>
      </w:r>
      <w:r>
        <w:rPr>
          <w:rFonts w:hint="eastAsia" w:ascii="仿宋_GB2312" w:hAnsi="仿宋_GB2312" w:eastAsia="仿宋_GB2312" w:cs="仿宋_GB2312"/>
          <w:sz w:val="32"/>
          <w:szCs w:val="32"/>
          <w:lang w:eastAsia="zh-CN"/>
        </w:rPr>
        <w:t>和</w:t>
      </w:r>
      <w:r>
        <w:rPr>
          <w:rFonts w:hint="default" w:ascii="仿宋_GB2312" w:hAnsi="仿宋_GB2312" w:eastAsia="仿宋_GB2312" w:cs="仿宋_GB2312"/>
          <w:sz w:val="32"/>
          <w:szCs w:val="32"/>
          <w:lang w:eastAsia="zh-CN"/>
        </w:rPr>
        <w:t>加固、生产条件恢复、生活环境恢复等。</w:t>
      </w:r>
      <w:r>
        <w:rPr>
          <w:rFonts w:hint="eastAsia" w:ascii="仿宋_GB2312" w:hAnsi="仿宋_GB2312" w:eastAsia="仿宋_GB2312" w:cs="仿宋_GB2312"/>
          <w:sz w:val="32"/>
          <w:szCs w:val="32"/>
          <w:lang w:eastAsia="zh-CN"/>
        </w:rPr>
        <w:t>（责任单位：县住建局、县交通局、县水利局、县农业农村局、县应急局、县行政审批服务管理局，各乡（镇）人民政府）</w:t>
      </w:r>
    </w:p>
    <w:p>
      <w:pPr>
        <w:keepNext w:val="0"/>
        <w:keepLines w:val="0"/>
        <w:pageBreakBefore w:val="0"/>
        <w:widowControl w:val="0"/>
        <w:kinsoku/>
        <w:wordWrap/>
        <w:overflowPunct/>
        <w:topLinePunct w:val="0"/>
        <w:autoSpaceDE/>
        <w:autoSpaceDN/>
        <w:bidi w:val="0"/>
        <w:adjustRightInd w:val="0"/>
        <w:snapToGrid w:val="0"/>
        <w:spacing w:line="650" w:lineRule="exact"/>
        <w:ind w:left="0" w:firstLine="640" w:firstLineChars="200"/>
        <w:textAlignment w:val="auto"/>
        <w:outlineLvl w:val="0"/>
        <w:rPr>
          <w:rFonts w:hint="eastAsia" w:ascii="Times New Roman" w:hAnsi="Times New Roman" w:eastAsia="黑体" w:cs="Times New Roman"/>
          <w:bCs/>
          <w:kern w:val="44"/>
          <w:sz w:val="32"/>
          <w:szCs w:val="32"/>
        </w:rPr>
      </w:pPr>
      <w:r>
        <w:rPr>
          <w:rFonts w:hint="eastAsia" w:ascii="Times New Roman" w:hAnsi="Times New Roman" w:eastAsia="黑体" w:cs="Times New Roman"/>
          <w:bCs/>
          <w:kern w:val="44"/>
          <w:sz w:val="32"/>
          <w:szCs w:val="32"/>
        </w:rPr>
        <w:t>四、</w:t>
      </w:r>
      <w:r>
        <w:rPr>
          <w:rFonts w:hint="eastAsia" w:ascii="Times New Roman" w:hAnsi="Times New Roman" w:eastAsia="黑体" w:cs="Times New Roman"/>
          <w:bCs/>
          <w:kern w:val="44"/>
          <w:sz w:val="32"/>
          <w:szCs w:val="32"/>
          <w:lang w:eastAsia="zh-CN"/>
        </w:rPr>
        <w:t>重点</w:t>
      </w:r>
      <w:r>
        <w:rPr>
          <w:rFonts w:hint="eastAsia" w:ascii="Times New Roman" w:hAnsi="Times New Roman" w:eastAsia="黑体" w:cs="Times New Roman"/>
          <w:bCs/>
          <w:kern w:val="44"/>
          <w:sz w:val="32"/>
          <w:szCs w:val="32"/>
        </w:rPr>
        <w:t>工作</w:t>
      </w:r>
    </w:p>
    <w:p>
      <w:pPr>
        <w:keepNext w:val="0"/>
        <w:keepLines w:val="0"/>
        <w:pageBreakBefore w:val="0"/>
        <w:widowControl w:val="0"/>
        <w:kinsoku/>
        <w:wordWrap/>
        <w:overflowPunct/>
        <w:topLinePunct w:val="0"/>
        <w:autoSpaceDE/>
        <w:autoSpaceDN/>
        <w:bidi w:val="0"/>
        <w:adjustRightInd w:val="0"/>
        <w:snapToGrid w:val="0"/>
        <w:spacing w:line="650" w:lineRule="exact"/>
        <w:ind w:firstLine="640" w:firstLineChars="200"/>
        <w:textAlignment w:val="auto"/>
        <w:rPr>
          <w:rFonts w:hint="eastAsia" w:ascii="仿宋_GB2312" w:hAnsi="仿宋_GB2312" w:eastAsia="仿宋_GB2312" w:cs="仿宋_GB2312"/>
          <w:color w:val="auto"/>
          <w:kern w:val="0"/>
          <w:sz w:val="32"/>
          <w:szCs w:val="32"/>
          <w:lang w:val="en-US" w:eastAsia="zh-CN" w:bidi="ar"/>
        </w:rPr>
      </w:pPr>
      <w:r>
        <w:rPr>
          <w:rFonts w:hint="eastAsia" w:ascii="楷体_GB2312" w:hAnsi="楷体_GB2312" w:eastAsia="楷体_GB2312" w:cs="楷体_GB2312"/>
          <w:b w:val="0"/>
          <w:bCs w:val="0"/>
          <w:color w:val="auto"/>
          <w:kern w:val="0"/>
          <w:sz w:val="32"/>
          <w:szCs w:val="32"/>
          <w:lang w:val="en-US" w:eastAsia="zh-CN" w:bidi="ar"/>
        </w:rPr>
        <w:t>（一）建立以工代赈年度重点项目清单。</w:t>
      </w:r>
      <w:r>
        <w:rPr>
          <w:rFonts w:hint="default" w:ascii="仿宋_GB2312" w:hAnsi="仿宋_GB2312" w:eastAsia="仿宋_GB2312" w:cs="仿宋_GB2312"/>
          <w:color w:val="000000" w:themeColor="text1"/>
          <w:kern w:val="0"/>
          <w:sz w:val="32"/>
          <w:szCs w:val="32"/>
          <w:lang w:val="en-US" w:eastAsia="zh-CN" w:bidi="ar"/>
          <w14:textFill>
            <w14:solidFill>
              <w14:schemeClr w14:val="tx1"/>
            </w14:solidFill>
          </w14:textFill>
        </w:rPr>
        <w:t>县教育</w:t>
      </w:r>
      <w:r>
        <w:rPr>
          <w:rFonts w:hint="default" w:ascii="仿宋_GB2312" w:hAnsi="仿宋_GB2312" w:eastAsia="仿宋_GB2312" w:cs="仿宋_GB2312"/>
          <w:color w:val="auto"/>
          <w:kern w:val="0"/>
          <w:sz w:val="32"/>
          <w:szCs w:val="32"/>
          <w:lang w:val="en-US" w:eastAsia="zh-CN" w:bidi="ar"/>
        </w:rPr>
        <w:t>、自然资源、生态环境、住房城乡建设、交通运输、水</w:t>
      </w:r>
      <w:r>
        <w:rPr>
          <w:rFonts w:hint="eastAsia" w:ascii="仿宋_GB2312" w:hAnsi="仿宋_GB2312" w:eastAsia="仿宋_GB2312" w:cs="仿宋_GB2312"/>
          <w:color w:val="auto"/>
          <w:kern w:val="0"/>
          <w:sz w:val="32"/>
          <w:szCs w:val="32"/>
          <w:lang w:val="en-US" w:eastAsia="zh-CN" w:bidi="ar"/>
        </w:rPr>
        <w:t>利</w:t>
      </w:r>
      <w:r>
        <w:rPr>
          <w:rFonts w:hint="default" w:ascii="仿宋_GB2312" w:hAnsi="仿宋_GB2312" w:eastAsia="仿宋_GB2312" w:cs="仿宋_GB2312"/>
          <w:color w:val="auto"/>
          <w:kern w:val="0"/>
          <w:sz w:val="32"/>
          <w:szCs w:val="32"/>
          <w:lang w:val="en-US" w:eastAsia="zh-CN" w:bidi="ar"/>
        </w:rPr>
        <w:t>、农业农村、文化和旅游、卫生健康</w:t>
      </w:r>
      <w:r>
        <w:rPr>
          <w:rFonts w:hint="eastAsia" w:ascii="仿宋_GB2312" w:hAnsi="仿宋_GB2312" w:eastAsia="仿宋_GB2312" w:cs="仿宋_GB2312"/>
          <w:color w:val="auto"/>
          <w:kern w:val="0"/>
          <w:sz w:val="32"/>
          <w:szCs w:val="32"/>
          <w:lang w:val="en-US" w:eastAsia="zh-CN" w:bidi="ar"/>
        </w:rPr>
        <w:t>和</w:t>
      </w:r>
      <w:r>
        <w:rPr>
          <w:rFonts w:hint="default" w:ascii="仿宋_GB2312" w:hAnsi="仿宋_GB2312" w:eastAsia="仿宋_GB2312" w:cs="仿宋_GB2312"/>
          <w:color w:val="auto"/>
          <w:kern w:val="0"/>
          <w:sz w:val="32"/>
          <w:szCs w:val="32"/>
          <w:lang w:val="en-US" w:eastAsia="zh-CN" w:bidi="ar"/>
        </w:rPr>
        <w:t>体育、行政审批、能源</w:t>
      </w:r>
      <w:r>
        <w:rPr>
          <w:rFonts w:hint="eastAsia" w:ascii="仿宋_GB2312" w:hAnsi="仿宋_GB2312" w:eastAsia="仿宋_GB2312" w:cs="仿宋_GB2312"/>
          <w:color w:val="auto"/>
          <w:kern w:val="0"/>
          <w:sz w:val="32"/>
          <w:szCs w:val="32"/>
          <w:lang w:val="en-US" w:eastAsia="zh-CN" w:bidi="ar"/>
        </w:rPr>
        <w:t>、乡村振兴</w:t>
      </w:r>
      <w:r>
        <w:rPr>
          <w:rFonts w:hint="default" w:ascii="仿宋_GB2312" w:hAnsi="仿宋_GB2312" w:eastAsia="仿宋_GB2312" w:cs="仿宋_GB2312"/>
          <w:color w:val="auto"/>
          <w:kern w:val="0"/>
          <w:sz w:val="32"/>
          <w:szCs w:val="32"/>
          <w:lang w:val="en-US" w:eastAsia="zh-CN" w:bidi="ar"/>
        </w:rPr>
        <w:t>等相关部门要会同</w:t>
      </w:r>
      <w:r>
        <w:rPr>
          <w:rFonts w:hint="eastAsia" w:ascii="仿宋_GB2312" w:hAnsi="仿宋_GB2312" w:eastAsia="仿宋_GB2312" w:cs="仿宋_GB2312"/>
          <w:color w:val="auto"/>
          <w:kern w:val="0"/>
          <w:sz w:val="32"/>
          <w:szCs w:val="32"/>
          <w:lang w:val="en-US" w:eastAsia="zh-CN" w:bidi="ar"/>
        </w:rPr>
        <w:t>县</w:t>
      </w:r>
      <w:r>
        <w:rPr>
          <w:rFonts w:hint="default" w:ascii="仿宋_GB2312" w:hAnsi="仿宋_GB2312" w:eastAsia="仿宋_GB2312" w:cs="仿宋_GB2312"/>
          <w:color w:val="auto"/>
          <w:kern w:val="0"/>
          <w:sz w:val="32"/>
          <w:szCs w:val="32"/>
          <w:lang w:val="en-US" w:eastAsia="zh-CN" w:bidi="ar"/>
        </w:rPr>
        <w:t>发改</w:t>
      </w:r>
      <w:r>
        <w:rPr>
          <w:rFonts w:hint="eastAsia" w:ascii="仿宋_GB2312" w:hAnsi="仿宋_GB2312" w:eastAsia="仿宋_GB2312" w:cs="仿宋_GB2312"/>
          <w:color w:val="auto"/>
          <w:kern w:val="0"/>
          <w:sz w:val="32"/>
          <w:szCs w:val="32"/>
          <w:lang w:val="en-US" w:eastAsia="zh-CN" w:bidi="ar"/>
        </w:rPr>
        <w:t>局</w:t>
      </w:r>
      <w:r>
        <w:rPr>
          <w:rFonts w:hint="default" w:ascii="仿宋_GB2312" w:hAnsi="仿宋_GB2312" w:eastAsia="仿宋_GB2312" w:cs="仿宋_GB2312"/>
          <w:color w:val="auto"/>
          <w:kern w:val="0"/>
          <w:sz w:val="32"/>
          <w:szCs w:val="32"/>
          <w:lang w:val="en-US" w:eastAsia="zh-CN" w:bidi="ar"/>
        </w:rPr>
        <w:t>根据中长期发展规划、专项规划，综合考虑工程项目特点、建设内容、当地群众务工需求等，梳理适用以工代赈的重点工程项目，</w:t>
      </w:r>
      <w:r>
        <w:rPr>
          <w:rFonts w:hint="eastAsia" w:ascii="仿宋_GB2312" w:hAnsi="仿宋_GB2312" w:eastAsia="仿宋_GB2312" w:cs="仿宋_GB2312"/>
          <w:color w:val="auto"/>
          <w:kern w:val="0"/>
          <w:sz w:val="32"/>
          <w:szCs w:val="32"/>
          <w:lang w:val="en-US" w:eastAsia="zh-CN" w:bidi="ar"/>
        </w:rPr>
        <w:t>分</w:t>
      </w:r>
      <w:r>
        <w:rPr>
          <w:rFonts w:hint="default" w:ascii="仿宋_GB2312" w:hAnsi="仿宋_GB2312" w:eastAsia="仿宋_GB2312" w:cs="仿宋_GB2312"/>
          <w:color w:val="auto"/>
          <w:kern w:val="0"/>
          <w:sz w:val="32"/>
          <w:szCs w:val="32"/>
          <w:lang w:val="en-US" w:eastAsia="zh-CN" w:bidi="ar"/>
        </w:rPr>
        <w:t>领域、分行业</w:t>
      </w:r>
      <w:r>
        <w:rPr>
          <w:rFonts w:hint="eastAsia" w:ascii="仿宋_GB2312" w:hAnsi="仿宋_GB2312" w:eastAsia="仿宋_GB2312" w:cs="仿宋_GB2312"/>
          <w:color w:val="auto"/>
          <w:kern w:val="0"/>
          <w:sz w:val="32"/>
          <w:szCs w:val="32"/>
          <w:lang w:val="en-US" w:eastAsia="zh-CN" w:bidi="ar"/>
        </w:rPr>
        <w:t>形成</w:t>
      </w:r>
      <w:r>
        <w:rPr>
          <w:rFonts w:hint="default" w:ascii="仿宋_GB2312" w:hAnsi="仿宋_GB2312" w:eastAsia="仿宋_GB2312" w:cs="仿宋_GB2312"/>
          <w:color w:val="auto"/>
          <w:kern w:val="0"/>
          <w:sz w:val="32"/>
          <w:szCs w:val="32"/>
          <w:lang w:val="en-US" w:eastAsia="zh-CN" w:bidi="ar"/>
        </w:rPr>
        <w:t>年度项目清单，并实行动态管理。</w:t>
      </w:r>
      <w:r>
        <w:rPr>
          <w:rFonts w:hint="eastAsia" w:ascii="仿宋_GB2312" w:hAnsi="仿宋_GB2312" w:eastAsia="仿宋_GB2312" w:cs="仿宋_GB2312"/>
          <w:color w:val="auto"/>
          <w:kern w:val="0"/>
          <w:sz w:val="32"/>
          <w:szCs w:val="32"/>
          <w:lang w:val="en-US" w:eastAsia="zh-CN" w:bidi="ar"/>
        </w:rPr>
        <w:t>（责任单位：县级协调机制成员单位）</w:t>
      </w:r>
    </w:p>
    <w:p>
      <w:pPr>
        <w:keepNext w:val="0"/>
        <w:keepLines w:val="0"/>
        <w:pageBreakBefore w:val="0"/>
        <w:widowControl w:val="0"/>
        <w:kinsoku/>
        <w:wordWrap/>
        <w:overflowPunct/>
        <w:topLinePunct w:val="0"/>
        <w:autoSpaceDE/>
        <w:autoSpaceDN/>
        <w:bidi w:val="0"/>
        <w:adjustRightInd w:val="0"/>
        <w:snapToGrid w:val="0"/>
        <w:spacing w:line="650" w:lineRule="exact"/>
        <w:ind w:firstLine="640" w:firstLineChars="200"/>
        <w:textAlignment w:val="auto"/>
        <w:rPr>
          <w:rFonts w:hint="default" w:ascii="仿宋_GB2312" w:hAnsi="仿宋_GB2312" w:eastAsia="仿宋_GB2312" w:cs="仿宋_GB2312"/>
          <w:color w:val="auto"/>
          <w:kern w:val="0"/>
          <w:sz w:val="32"/>
          <w:szCs w:val="32"/>
          <w:lang w:val="en-US" w:eastAsia="zh-CN" w:bidi="ar"/>
        </w:rPr>
      </w:pPr>
      <w:r>
        <w:rPr>
          <w:rFonts w:hint="eastAsia" w:ascii="楷体_GB2312" w:hAnsi="楷体_GB2312" w:eastAsia="楷体_GB2312" w:cs="楷体_GB2312"/>
          <w:b w:val="0"/>
          <w:bCs w:val="0"/>
          <w:color w:val="auto"/>
          <w:kern w:val="0"/>
          <w:sz w:val="32"/>
          <w:szCs w:val="32"/>
          <w:lang w:val="en-US" w:eastAsia="zh-CN" w:bidi="ar"/>
        </w:rPr>
        <w:t>（二）以乡（镇）为主对接用工需求。各单位</w:t>
      </w:r>
      <w:r>
        <w:rPr>
          <w:rFonts w:hint="eastAsia" w:ascii="仿宋_GB2312" w:hAnsi="仿宋_GB2312" w:eastAsia="仿宋_GB2312" w:cs="仿宋_GB2312"/>
          <w:color w:val="auto"/>
          <w:kern w:val="0"/>
          <w:sz w:val="32"/>
          <w:szCs w:val="32"/>
          <w:lang w:val="en-US" w:eastAsia="zh-CN" w:bidi="ar"/>
        </w:rPr>
        <w:t>要按照以乡（镇）为主组织动员当地群众参与的原则，督促重点工程项目业主单位、施工单位根据能够实施以工代赈建设任务和用工环节的劳务需求，明确项目所在乡（镇）内可提供的就业岗位、数量、时间及劳动技能要求，并向相关单位告知用工计划。项目业主单位要督促指导施工单位做好以工代赈务工人员合同签订、台账登记、日常考勤等实名制管理工作。（责任单位：县级协调机制成员单位，各乡（镇）人民政府）</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50" w:lineRule="exact"/>
        <w:ind w:left="0" w:right="0" w:firstLine="640" w:firstLineChars="200"/>
        <w:jc w:val="both"/>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val="0"/>
          <w:bCs w:val="0"/>
          <w:color w:val="auto"/>
          <w:kern w:val="0"/>
          <w:sz w:val="32"/>
          <w:szCs w:val="32"/>
          <w:lang w:val="en-US" w:eastAsia="zh-CN" w:bidi="ar"/>
        </w:rPr>
        <w:t>（三）积极动员当地群众参与务工。</w:t>
      </w:r>
      <w:r>
        <w:rPr>
          <w:rFonts w:hint="eastAsia" w:ascii="仿宋_GB2312" w:hAnsi="仿宋_GB2312" w:eastAsia="仿宋_GB2312" w:cs="仿宋_GB2312"/>
          <w:sz w:val="32"/>
          <w:szCs w:val="32"/>
          <w:lang w:eastAsia="zh-CN"/>
        </w:rPr>
        <w:t>各单位</w:t>
      </w:r>
      <w:r>
        <w:rPr>
          <w:rFonts w:hint="default" w:ascii="仿宋_GB2312" w:hAnsi="仿宋_GB2312" w:eastAsia="仿宋_GB2312" w:cs="仿宋_GB2312"/>
          <w:sz w:val="32"/>
          <w:szCs w:val="32"/>
          <w:lang w:eastAsia="zh-CN"/>
        </w:rPr>
        <w:t>要与业主单位、施工单位建立劳务沟通协调机制，</w:t>
      </w:r>
      <w:r>
        <w:rPr>
          <w:rFonts w:hint="eastAsia" w:ascii="仿宋_GB2312" w:hAnsi="仿宋_GB2312" w:eastAsia="仿宋_GB2312" w:cs="仿宋_GB2312"/>
          <w:sz w:val="32"/>
          <w:szCs w:val="32"/>
          <w:lang w:eastAsia="zh-CN"/>
        </w:rPr>
        <w:t>及时</w:t>
      </w:r>
      <w:r>
        <w:rPr>
          <w:rFonts w:hint="default" w:ascii="仿宋_GB2312" w:hAnsi="仿宋_GB2312" w:eastAsia="仿宋_GB2312" w:cs="仿宋_GB2312"/>
          <w:sz w:val="32"/>
          <w:szCs w:val="32"/>
          <w:lang w:eastAsia="zh-CN"/>
        </w:rPr>
        <w:t>开展政策宣讲和劳动力状况摸底调查，组织动员当地农村劳动力、城镇低收入人口和就业困难群体积极参与工程建设，优先吸纳返乡农民工、脱贫人口和防止返贫监测对象</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eastAsia="zh-CN"/>
        </w:rPr>
        <w:t>易地搬迁安置区劳动力</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eastAsia="zh-CN"/>
        </w:rPr>
        <w:t>要培育壮大劳务公司、劳务合作社、村集体经济组织等，提高当地群众劳务输转的组织化、规范化程度。</w:t>
      </w:r>
      <w:r>
        <w:rPr>
          <w:rFonts w:hint="eastAsia" w:ascii="仿宋_GB2312" w:hAnsi="仿宋_GB2312" w:eastAsia="仿宋_GB2312" w:cs="仿宋_GB2312"/>
          <w:sz w:val="32"/>
          <w:szCs w:val="32"/>
          <w:lang w:eastAsia="zh-CN"/>
        </w:rPr>
        <w:t>（责任单位：</w:t>
      </w:r>
      <w:r>
        <w:rPr>
          <w:rFonts w:hint="eastAsia" w:ascii="仿宋_GB2312" w:hAnsi="仿宋_GB2312" w:eastAsia="仿宋_GB2312" w:cs="仿宋_GB2312"/>
          <w:color w:val="auto"/>
          <w:kern w:val="0"/>
          <w:sz w:val="32"/>
          <w:szCs w:val="32"/>
          <w:lang w:val="en-US" w:eastAsia="zh-CN" w:bidi="ar"/>
        </w:rPr>
        <w:t>县级协调机制成员单位，各乡（镇）人民政府</w:t>
      </w:r>
      <w:r>
        <w:rPr>
          <w:rFonts w:hint="eastAsia" w:ascii="仿宋_GB2312" w:hAnsi="仿宋_GB2312" w:eastAsia="仿宋_GB2312" w:cs="仿宋_GB2312"/>
          <w:sz w:val="32"/>
          <w:szCs w:val="32"/>
          <w:lang w:eastAsia="zh-CN"/>
        </w:rPr>
        <w:t>）</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50" w:lineRule="exact"/>
        <w:ind w:left="0" w:right="0" w:firstLine="640" w:firstLineChars="200"/>
        <w:jc w:val="both"/>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val="0"/>
          <w:bCs w:val="0"/>
          <w:color w:val="auto"/>
          <w:kern w:val="0"/>
          <w:sz w:val="32"/>
          <w:szCs w:val="32"/>
          <w:lang w:val="en-US" w:eastAsia="zh-CN" w:bidi="ar"/>
        </w:rPr>
        <w:t>（四）统筹开展务工人员技能培训</w:t>
      </w:r>
      <w:r>
        <w:rPr>
          <w:rFonts w:hint="eastAsia" w:ascii="楷体_GB2312" w:hAnsi="楷体_GB2312" w:eastAsia="楷体_GB2312" w:cs="楷体_GB2312"/>
          <w:b w:val="0"/>
          <w:bCs w:val="0"/>
          <w:sz w:val="32"/>
          <w:szCs w:val="32"/>
        </w:rPr>
        <w:t>。</w:t>
      </w:r>
      <w:r>
        <w:rPr>
          <w:rFonts w:hint="eastAsia" w:ascii="仿宋_GB2312" w:hAnsi="仿宋_GB2312" w:eastAsia="仿宋_GB2312" w:cs="仿宋_GB2312"/>
          <w:sz w:val="32"/>
          <w:szCs w:val="32"/>
          <w:lang w:eastAsia="zh-CN"/>
        </w:rPr>
        <w:t>各单位</w:t>
      </w:r>
      <w:r>
        <w:rPr>
          <w:rFonts w:hint="eastAsia" w:ascii="CESI仿宋-GB2312" w:hAnsi="CESI仿宋-GB2312" w:eastAsia="CESI仿宋-GB2312" w:cs="CESI仿宋-GB2312"/>
          <w:b w:val="0"/>
          <w:bCs w:val="0"/>
          <w:sz w:val="32"/>
          <w:szCs w:val="32"/>
          <w:lang w:eastAsia="zh-CN"/>
        </w:rPr>
        <w:t>要</w:t>
      </w:r>
      <w:r>
        <w:rPr>
          <w:rFonts w:hint="eastAsia" w:ascii="仿宋_GB2312" w:hAnsi="仿宋_GB2312" w:eastAsia="仿宋_GB2312" w:cs="仿宋_GB2312"/>
          <w:sz w:val="32"/>
          <w:szCs w:val="32"/>
          <w:lang w:eastAsia="zh-CN"/>
        </w:rPr>
        <w:t>根据当地劳动力就业意愿和重点工程项目用工需求</w:t>
      </w:r>
      <w:r>
        <w:rPr>
          <w:rFonts w:hint="default" w:ascii="仿宋_GB2312" w:hAnsi="仿宋_GB2312" w:eastAsia="仿宋_GB2312" w:cs="仿宋_GB2312"/>
          <w:sz w:val="32"/>
          <w:szCs w:val="32"/>
          <w:lang w:eastAsia="zh-CN"/>
        </w:rPr>
        <w:t>，统筹整合各类符合条件的培训资金和资源，充分利用项目施工场地、机械设备等，采取“培训+上岗”的方式，联合施工单位开展劳动技能培训和安全操作培训。</w:t>
      </w:r>
      <w:r>
        <w:rPr>
          <w:rFonts w:hint="eastAsia" w:ascii="仿宋_GB2312" w:hAnsi="仿宋_GB2312" w:eastAsia="仿宋_GB2312" w:cs="仿宋_GB2312"/>
          <w:sz w:val="32"/>
          <w:szCs w:val="32"/>
          <w:lang w:eastAsia="zh-CN"/>
        </w:rPr>
        <w:t>可</w:t>
      </w:r>
      <w:r>
        <w:rPr>
          <w:rFonts w:hint="default" w:ascii="仿宋_GB2312" w:hAnsi="仿宋_GB2312" w:eastAsia="仿宋_GB2312" w:cs="仿宋_GB2312"/>
          <w:sz w:val="32"/>
          <w:szCs w:val="32"/>
          <w:lang w:eastAsia="zh-CN"/>
        </w:rPr>
        <w:t>委托中等职业技术学校，采取“培训+项目”的方式，组织开展机械设备操作技能和安全生产知识培训；</w:t>
      </w:r>
      <w:r>
        <w:rPr>
          <w:rFonts w:hint="eastAsia" w:ascii="仿宋_GB2312" w:hAnsi="仿宋_GB2312" w:eastAsia="仿宋_GB2312" w:cs="仿宋_GB2312"/>
          <w:sz w:val="32"/>
          <w:szCs w:val="32"/>
          <w:lang w:eastAsia="zh-CN"/>
        </w:rPr>
        <w:t>要</w:t>
      </w:r>
      <w:r>
        <w:rPr>
          <w:rFonts w:hint="default" w:ascii="仿宋_GB2312" w:hAnsi="仿宋_GB2312" w:eastAsia="仿宋_GB2312" w:cs="仿宋_GB2312"/>
          <w:sz w:val="32"/>
          <w:szCs w:val="32"/>
          <w:lang w:eastAsia="zh-CN"/>
        </w:rPr>
        <w:t>依托实施的以工代赈</w:t>
      </w:r>
      <w:r>
        <w:rPr>
          <w:rFonts w:hint="eastAsia" w:ascii="仿宋_GB2312" w:hAnsi="仿宋_GB2312" w:eastAsia="仿宋_GB2312" w:cs="仿宋_GB2312"/>
          <w:sz w:val="32"/>
          <w:szCs w:val="32"/>
          <w:lang w:eastAsia="zh-CN"/>
        </w:rPr>
        <w:t>专项投资</w:t>
      </w:r>
      <w:r>
        <w:rPr>
          <w:rFonts w:hint="default" w:ascii="仿宋_GB2312" w:hAnsi="仿宋_GB2312" w:eastAsia="仿宋_GB2312" w:cs="仿宋_GB2312"/>
          <w:sz w:val="32"/>
          <w:szCs w:val="32"/>
          <w:lang w:eastAsia="zh-CN"/>
        </w:rPr>
        <w:t>项目，</w:t>
      </w:r>
      <w:r>
        <w:rPr>
          <w:rFonts w:hint="eastAsia" w:ascii="仿宋_GB2312" w:hAnsi="仿宋_GB2312" w:eastAsia="仿宋_GB2312" w:cs="仿宋_GB2312"/>
          <w:sz w:val="32"/>
          <w:szCs w:val="32"/>
          <w:lang w:eastAsia="zh-CN"/>
        </w:rPr>
        <w:t>有针对性地开</w:t>
      </w:r>
      <w:r>
        <w:rPr>
          <w:rFonts w:hint="default" w:ascii="仿宋_GB2312" w:hAnsi="仿宋_GB2312" w:eastAsia="仿宋_GB2312" w:cs="仿宋_GB2312"/>
          <w:sz w:val="32"/>
          <w:szCs w:val="32"/>
          <w:lang w:eastAsia="zh-CN"/>
        </w:rPr>
        <w:t>展劳动技能培训</w:t>
      </w:r>
      <w:r>
        <w:rPr>
          <w:rFonts w:hint="eastAsia" w:ascii="仿宋_GB2312" w:hAnsi="仿宋_GB2312" w:eastAsia="仿宋_GB2312" w:cs="仿宋_GB2312"/>
          <w:sz w:val="32"/>
          <w:szCs w:val="32"/>
          <w:lang w:eastAsia="zh-CN"/>
        </w:rPr>
        <w:t>和安全生产培训</w:t>
      </w:r>
      <w:r>
        <w:rPr>
          <w:rFonts w:hint="default" w:ascii="仿宋_GB2312" w:hAnsi="仿宋_GB2312" w:eastAsia="仿宋_GB2312" w:cs="仿宋_GB2312"/>
          <w:sz w:val="32"/>
          <w:szCs w:val="32"/>
          <w:lang w:eastAsia="zh-CN"/>
        </w:rPr>
        <w:t>，确保参与务工群众培训全覆盖，为重点工程项目提前培养熟练劳动力。</w:t>
      </w:r>
      <w:r>
        <w:rPr>
          <w:rFonts w:hint="eastAsia" w:ascii="仿宋_GB2312" w:hAnsi="仿宋_GB2312" w:eastAsia="仿宋_GB2312" w:cs="仿宋_GB2312"/>
          <w:sz w:val="32"/>
          <w:szCs w:val="32"/>
          <w:lang w:eastAsia="zh-CN"/>
        </w:rPr>
        <w:t>（责任单位：</w:t>
      </w:r>
      <w:r>
        <w:rPr>
          <w:rFonts w:hint="eastAsia" w:ascii="仿宋_GB2312" w:hAnsi="仿宋_GB2312" w:eastAsia="仿宋_GB2312" w:cs="仿宋_GB2312"/>
          <w:color w:val="auto"/>
          <w:kern w:val="0"/>
          <w:sz w:val="32"/>
          <w:szCs w:val="32"/>
          <w:lang w:val="en-US" w:eastAsia="zh-CN" w:bidi="ar"/>
        </w:rPr>
        <w:t>县级协调机制成员单位，各乡（镇）人民政府</w:t>
      </w:r>
      <w:r>
        <w:rPr>
          <w:rFonts w:hint="eastAsia" w:ascii="仿宋_GB2312" w:hAnsi="仿宋_GB2312" w:eastAsia="仿宋_GB2312" w:cs="仿宋_GB2312"/>
          <w:sz w:val="32"/>
          <w:szCs w:val="32"/>
          <w:lang w:eastAsia="zh-CN"/>
        </w:rPr>
        <w:t>）</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50" w:lineRule="exact"/>
        <w:ind w:left="0" w:right="0" w:firstLine="640" w:firstLineChars="200"/>
        <w:jc w:val="both"/>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val="0"/>
          <w:bCs w:val="0"/>
          <w:sz w:val="32"/>
          <w:szCs w:val="32"/>
        </w:rPr>
        <w:t>（</w:t>
      </w:r>
      <w:r>
        <w:rPr>
          <w:rFonts w:hint="eastAsia" w:ascii="楷体_GB2312" w:hAnsi="楷体_GB2312" w:eastAsia="楷体_GB2312" w:cs="楷体_GB2312"/>
          <w:b w:val="0"/>
          <w:bCs w:val="0"/>
          <w:sz w:val="32"/>
          <w:szCs w:val="32"/>
          <w:lang w:eastAsia="zh-CN"/>
        </w:rPr>
        <w:t>五</w:t>
      </w:r>
      <w:r>
        <w:rPr>
          <w:rFonts w:hint="eastAsia" w:ascii="楷体_GB2312" w:hAnsi="楷体_GB2312" w:eastAsia="楷体_GB2312" w:cs="楷体_GB2312"/>
          <w:b w:val="0"/>
          <w:bCs w:val="0"/>
          <w:sz w:val="32"/>
          <w:szCs w:val="32"/>
        </w:rPr>
        <w:t>）规范务工人员劳务报酬发放。</w:t>
      </w:r>
      <w:r>
        <w:rPr>
          <w:rFonts w:hint="default" w:ascii="仿宋_GB2312" w:hAnsi="仿宋_GB2312" w:eastAsia="仿宋_GB2312" w:cs="仿宋_GB2312"/>
          <w:sz w:val="32"/>
          <w:szCs w:val="32"/>
          <w:lang w:eastAsia="zh-CN"/>
        </w:rPr>
        <w:t>各</w:t>
      </w:r>
      <w:r>
        <w:rPr>
          <w:rFonts w:hint="eastAsia" w:ascii="仿宋_GB2312" w:hAnsi="仿宋_GB2312" w:eastAsia="仿宋_GB2312" w:cs="仿宋_GB2312"/>
          <w:sz w:val="32"/>
          <w:szCs w:val="32"/>
          <w:lang w:eastAsia="zh-CN"/>
        </w:rPr>
        <w:t>单位</w:t>
      </w:r>
      <w:r>
        <w:rPr>
          <w:rFonts w:hint="default" w:ascii="仿宋_GB2312" w:hAnsi="仿宋_GB2312" w:eastAsia="仿宋_GB2312" w:cs="仿宋_GB2312"/>
          <w:sz w:val="32"/>
          <w:szCs w:val="32"/>
          <w:lang w:eastAsia="zh-CN"/>
        </w:rPr>
        <w:t>、</w:t>
      </w:r>
      <w:r>
        <w:rPr>
          <w:rFonts w:hint="eastAsia" w:ascii="仿宋_GB2312" w:hAnsi="仿宋_GB2312" w:eastAsia="仿宋_GB2312" w:cs="仿宋_GB2312"/>
          <w:sz w:val="32"/>
          <w:szCs w:val="32"/>
          <w:lang w:eastAsia="zh-CN"/>
        </w:rPr>
        <w:t>各乡（镇）人民政府</w:t>
      </w:r>
      <w:r>
        <w:rPr>
          <w:rFonts w:hint="default" w:ascii="仿宋_GB2312" w:hAnsi="仿宋_GB2312" w:eastAsia="仿宋_GB2312" w:cs="仿宋_GB2312"/>
          <w:sz w:val="32"/>
          <w:szCs w:val="32"/>
          <w:lang w:eastAsia="zh-CN"/>
        </w:rPr>
        <w:t>要督促指导项目施工单位尽量扩充以工代赈就业岗位，合理确定以工代赈劳务报酬标准，尽可能增加劳务报酬发放规模。施工单位要建立统一规范的实名制用工名册和劳务报酬发放台账，经务工人员签字确认后，原则上将劳务报酬通过银行卡直接发放至本人，并将劳务报酬发放台账送</w:t>
      </w:r>
      <w:r>
        <w:rPr>
          <w:rFonts w:hint="eastAsia" w:ascii="仿宋_GB2312" w:hAnsi="仿宋_GB2312" w:eastAsia="仿宋_GB2312" w:cs="仿宋_GB2312"/>
          <w:sz w:val="32"/>
          <w:szCs w:val="32"/>
          <w:lang w:eastAsia="zh-CN"/>
        </w:rPr>
        <w:t>相关单位</w:t>
      </w:r>
      <w:r>
        <w:rPr>
          <w:rFonts w:hint="default" w:ascii="仿宋_GB2312" w:hAnsi="仿宋_GB2312" w:eastAsia="仿宋_GB2312" w:cs="仿宋_GB2312"/>
          <w:sz w:val="32"/>
          <w:szCs w:val="32"/>
          <w:lang w:eastAsia="zh-CN"/>
        </w:rPr>
        <w:t>备案。坚决杜绝劳务报酬发放过程中拖欠克扣、弄虚作假等行为。</w:t>
      </w:r>
      <w:r>
        <w:rPr>
          <w:rFonts w:hint="eastAsia" w:ascii="仿宋_GB2312" w:hAnsi="仿宋_GB2312" w:eastAsia="仿宋_GB2312" w:cs="仿宋_GB2312"/>
          <w:sz w:val="32"/>
          <w:szCs w:val="32"/>
          <w:lang w:eastAsia="zh-CN"/>
        </w:rPr>
        <w:t>（责任单位：县级协调机制成员单位，各乡（镇）人民政府）</w:t>
      </w:r>
    </w:p>
    <w:p>
      <w:pPr>
        <w:keepNext w:val="0"/>
        <w:keepLines w:val="0"/>
        <w:pageBreakBefore w:val="0"/>
        <w:widowControl w:val="0"/>
        <w:kinsoku/>
        <w:wordWrap/>
        <w:overflowPunct/>
        <w:topLinePunct w:val="0"/>
        <w:autoSpaceDE/>
        <w:autoSpaceDN/>
        <w:bidi w:val="0"/>
        <w:adjustRightInd w:val="0"/>
        <w:snapToGrid w:val="0"/>
        <w:spacing w:line="650" w:lineRule="exact"/>
        <w:ind w:left="0" w:firstLine="640" w:firstLineChars="200"/>
        <w:textAlignment w:val="auto"/>
        <w:outlineLvl w:val="0"/>
        <w:rPr>
          <w:rFonts w:hint="eastAsia" w:ascii="Times New Roman" w:hAnsi="Times New Roman" w:eastAsia="黑体" w:cs="Times New Roman"/>
          <w:bCs/>
          <w:kern w:val="44"/>
          <w:sz w:val="32"/>
          <w:szCs w:val="32"/>
        </w:rPr>
      </w:pPr>
      <w:r>
        <w:rPr>
          <w:rFonts w:hint="eastAsia" w:ascii="Times New Roman" w:hAnsi="Times New Roman" w:eastAsia="黑体" w:cs="Times New Roman"/>
          <w:bCs/>
          <w:kern w:val="44"/>
          <w:sz w:val="32"/>
          <w:szCs w:val="32"/>
        </w:rPr>
        <w:t>五、规范管理</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50" w:lineRule="exact"/>
        <w:ind w:left="0" w:right="0" w:firstLine="640" w:firstLineChars="200"/>
        <w:jc w:val="both"/>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val="0"/>
          <w:bCs w:val="0"/>
          <w:sz w:val="32"/>
          <w:szCs w:val="32"/>
        </w:rPr>
        <w:t>（一）项目前期阶段明确以工代赈要求。</w:t>
      </w:r>
      <w:r>
        <w:rPr>
          <w:rFonts w:hint="default" w:ascii="仿宋_GB2312" w:hAnsi="仿宋_GB2312" w:eastAsia="仿宋_GB2312" w:cs="仿宋_GB2312"/>
          <w:sz w:val="32"/>
          <w:szCs w:val="32"/>
          <w:lang w:eastAsia="zh-CN"/>
        </w:rPr>
        <w:t>实施以工代赈的重点工程项目在编制可行性研究报告、资金申请报告等要件</w:t>
      </w:r>
      <w:r>
        <w:rPr>
          <w:rFonts w:hint="eastAsia" w:ascii="仿宋_GB2312" w:hAnsi="仿宋_GB2312" w:eastAsia="仿宋_GB2312" w:cs="仿宋_GB2312"/>
          <w:sz w:val="32"/>
          <w:szCs w:val="32"/>
          <w:lang w:eastAsia="zh-CN"/>
        </w:rPr>
        <w:t>中</w:t>
      </w:r>
      <w:r>
        <w:rPr>
          <w:rFonts w:hint="default" w:ascii="仿宋_GB2312" w:hAnsi="仿宋_GB2312" w:eastAsia="仿宋_GB2312" w:cs="仿宋_GB2312"/>
          <w:sz w:val="32"/>
          <w:szCs w:val="32"/>
          <w:lang w:eastAsia="zh-CN"/>
        </w:rPr>
        <w:t>，要以适当形式体现能够实施以工代赈的建设任务和用工环节，在社会效益评价部分充分体现带动项目区群众就业增收、技能提升等预期成效。初步设计</w:t>
      </w:r>
      <w:r>
        <w:rPr>
          <w:rFonts w:hint="eastAsia" w:ascii="仿宋_GB2312" w:hAnsi="仿宋_GB2312" w:eastAsia="仿宋_GB2312" w:cs="仿宋_GB2312"/>
          <w:sz w:val="32"/>
          <w:szCs w:val="32"/>
          <w:lang w:eastAsia="zh-CN"/>
        </w:rPr>
        <w:t>报告</w:t>
      </w:r>
      <w:r>
        <w:rPr>
          <w:rFonts w:hint="default" w:ascii="仿宋_GB2312" w:hAnsi="仿宋_GB2312" w:eastAsia="仿宋_GB2312" w:cs="仿宋_GB2312"/>
          <w:sz w:val="32"/>
          <w:szCs w:val="32"/>
          <w:lang w:eastAsia="zh-CN"/>
        </w:rPr>
        <w:t>或施工图设计文件要明确实施以工代赈的具体建设内容、用工环节、就业岗位和劳务报酬规模等。</w:t>
      </w:r>
      <w:r>
        <w:rPr>
          <w:rFonts w:hint="eastAsia" w:ascii="仿宋_GB2312" w:hAnsi="仿宋_GB2312" w:eastAsia="仿宋_GB2312" w:cs="仿宋_GB2312"/>
          <w:sz w:val="32"/>
          <w:szCs w:val="32"/>
          <w:lang w:eastAsia="zh-CN"/>
        </w:rPr>
        <w:t>县行政审批服务管理局</w:t>
      </w:r>
      <w:r>
        <w:rPr>
          <w:rFonts w:hint="default" w:ascii="仿宋_GB2312" w:hAnsi="仿宋_GB2312" w:eastAsia="仿宋_GB2312" w:cs="仿宋_GB2312"/>
          <w:sz w:val="32"/>
          <w:szCs w:val="32"/>
          <w:lang w:eastAsia="zh-CN"/>
        </w:rPr>
        <w:t>要在项目批复文件中对项目吸纳当地群众务工就业提出要求</w:t>
      </w:r>
      <w:r>
        <w:rPr>
          <w:rFonts w:hint="eastAsia" w:ascii="仿宋_GB2312" w:hAnsi="仿宋_GB2312" w:eastAsia="仿宋_GB2312" w:cs="仿宋_GB2312"/>
          <w:sz w:val="32"/>
          <w:szCs w:val="32"/>
          <w:lang w:eastAsia="zh-CN"/>
        </w:rPr>
        <w:t>，明确项目业主单位、施工单位及时向主管部门报送工作进展情况</w:t>
      </w:r>
      <w:r>
        <w:rPr>
          <w:rFonts w:hint="default" w:ascii="仿宋_GB2312" w:hAnsi="仿宋_GB2312" w:eastAsia="仿宋_GB2312" w:cs="仿宋_GB2312"/>
          <w:sz w:val="32"/>
          <w:szCs w:val="32"/>
          <w:lang w:eastAsia="zh-CN"/>
        </w:rPr>
        <w:t>。</w:t>
      </w:r>
      <w:r>
        <w:rPr>
          <w:rFonts w:hint="eastAsia" w:ascii="仿宋_GB2312" w:hAnsi="仿宋_GB2312" w:eastAsia="仿宋_GB2312" w:cs="仿宋_GB2312"/>
          <w:sz w:val="32"/>
          <w:szCs w:val="32"/>
          <w:lang w:eastAsia="zh-CN"/>
        </w:rPr>
        <w:t>（责任单位：县级协调机制成员单位，各乡（镇）人民政府）</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50" w:lineRule="exact"/>
        <w:ind w:left="0" w:right="0" w:firstLine="640" w:firstLineChars="200"/>
        <w:jc w:val="both"/>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val="0"/>
          <w:bCs w:val="0"/>
          <w:sz w:val="32"/>
          <w:szCs w:val="32"/>
        </w:rPr>
        <w:t>（二）项目建设阶段压实各方责任。</w:t>
      </w:r>
      <w:r>
        <w:rPr>
          <w:rFonts w:hint="eastAsia" w:ascii="仿宋_GB2312" w:hAnsi="仿宋_GB2312" w:eastAsia="仿宋_GB2312" w:cs="仿宋_GB2312"/>
          <w:sz w:val="32"/>
          <w:szCs w:val="32"/>
          <w:lang w:eastAsia="zh-CN"/>
        </w:rPr>
        <w:t>各单位</w:t>
      </w:r>
      <w:r>
        <w:rPr>
          <w:rFonts w:hint="default" w:ascii="仿宋_GB2312" w:hAnsi="仿宋_GB2312" w:eastAsia="仿宋_GB2312" w:cs="仿宋_GB2312"/>
          <w:sz w:val="32"/>
          <w:szCs w:val="32"/>
          <w:lang w:eastAsia="zh-CN"/>
        </w:rPr>
        <w:t>要切实履行监管责任，督促指导重点项目建设单位认真实施以工代赈。项目业主单位在设计、招标投标过程中明确以工代赈用工及劳务报酬发放要求，在工程服务合同中与施工单位约定相关责任义务。施工单位负责以工代赈务工人员在施工现场的日常管理，及时足额发放劳务报酬，保障劳动者合法权益。项目监理单位要把施工单位对以工代赈务工人员的组织管理和劳务报酬发放等作为工程监理的重要内容，加大监管力度。</w:t>
      </w:r>
      <w:r>
        <w:rPr>
          <w:rFonts w:hint="eastAsia" w:ascii="仿宋_GB2312" w:hAnsi="仿宋_GB2312" w:eastAsia="仿宋_GB2312" w:cs="仿宋_GB2312"/>
          <w:sz w:val="32"/>
          <w:szCs w:val="32"/>
          <w:lang w:eastAsia="zh-CN"/>
        </w:rPr>
        <w:t>（责任单位：县级协调机制成员单位，各乡（镇）人民政府）</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50" w:lineRule="exact"/>
        <w:ind w:left="0" w:right="0" w:firstLine="640" w:firstLineChars="200"/>
        <w:jc w:val="both"/>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val="0"/>
          <w:bCs w:val="0"/>
          <w:sz w:val="32"/>
          <w:szCs w:val="32"/>
        </w:rPr>
        <w:t>（三）</w:t>
      </w:r>
      <w:r>
        <w:rPr>
          <w:rFonts w:hint="eastAsia" w:ascii="楷体_GB2312" w:hAnsi="楷体_GB2312" w:eastAsia="楷体_GB2312" w:cs="楷体_GB2312"/>
          <w:b w:val="0"/>
          <w:bCs w:val="0"/>
          <w:sz w:val="32"/>
          <w:szCs w:val="32"/>
          <w:lang w:eastAsia="zh-CN"/>
        </w:rPr>
        <w:t>强化</w:t>
      </w:r>
      <w:r>
        <w:rPr>
          <w:rFonts w:hint="eastAsia" w:ascii="楷体_GB2312" w:hAnsi="楷体_GB2312" w:eastAsia="楷体_GB2312" w:cs="楷体_GB2312"/>
          <w:b w:val="0"/>
          <w:bCs w:val="0"/>
          <w:sz w:val="32"/>
          <w:szCs w:val="32"/>
        </w:rPr>
        <w:t>项目</w:t>
      </w:r>
      <w:r>
        <w:rPr>
          <w:rFonts w:hint="eastAsia" w:ascii="楷体_GB2312" w:hAnsi="楷体_GB2312" w:eastAsia="楷体_GB2312" w:cs="楷体_GB2312"/>
          <w:b w:val="0"/>
          <w:bCs w:val="0"/>
          <w:sz w:val="32"/>
          <w:szCs w:val="32"/>
          <w:lang w:eastAsia="zh-CN"/>
        </w:rPr>
        <w:t>全</w:t>
      </w:r>
      <w:r>
        <w:rPr>
          <w:rFonts w:hint="eastAsia" w:ascii="楷体_GB2312" w:hAnsi="楷体_GB2312" w:eastAsia="楷体_GB2312" w:cs="楷体_GB2312"/>
          <w:b w:val="0"/>
          <w:bCs w:val="0"/>
          <w:sz w:val="32"/>
          <w:szCs w:val="32"/>
        </w:rPr>
        <w:t>过程全领域</w:t>
      </w:r>
      <w:r>
        <w:rPr>
          <w:rFonts w:hint="eastAsia" w:ascii="楷体_GB2312" w:hAnsi="楷体_GB2312" w:eastAsia="楷体_GB2312" w:cs="楷体_GB2312"/>
          <w:b w:val="0"/>
          <w:bCs w:val="0"/>
          <w:sz w:val="32"/>
          <w:szCs w:val="32"/>
          <w:lang w:eastAsia="zh-CN"/>
        </w:rPr>
        <w:t>管理</w:t>
      </w:r>
      <w:r>
        <w:rPr>
          <w:rFonts w:hint="eastAsia" w:ascii="楷体_GB2312" w:hAnsi="楷体_GB2312" w:eastAsia="楷体_GB2312" w:cs="楷体_GB2312"/>
          <w:b w:val="0"/>
          <w:bCs w:val="0"/>
          <w:sz w:val="32"/>
          <w:szCs w:val="32"/>
        </w:rPr>
        <w:t>。</w:t>
      </w:r>
      <w:r>
        <w:rPr>
          <w:rFonts w:hint="eastAsia" w:ascii="仿宋_GB2312" w:hAnsi="仿宋_GB2312" w:eastAsia="仿宋_GB2312" w:cs="仿宋_GB2312"/>
          <w:sz w:val="32"/>
          <w:szCs w:val="32"/>
          <w:lang w:eastAsia="zh-CN"/>
        </w:rPr>
        <w:t>县发改局</w:t>
      </w:r>
      <w:r>
        <w:rPr>
          <w:rFonts w:hint="default" w:ascii="仿宋_GB2312" w:hAnsi="仿宋_GB2312" w:eastAsia="仿宋_GB2312" w:cs="仿宋_GB2312"/>
          <w:sz w:val="32"/>
          <w:szCs w:val="32"/>
          <w:lang w:eastAsia="zh-CN"/>
        </w:rPr>
        <w:t>要联合相关部门、项目业主单位等，围绕当地务工人员组织、劳务报酬发放、劳动技能培训和安全生产培训等，对重点工程项目以工代赈实施情况加强监管和检查，发现问题及时督促整改。项目建成后，项目竣工验收单位会同相关部门、业主单位、施工单位对以工代赈实施情况联合开展综合评价，核查群众就业技能培训、务工、劳务报酬发放台账，评价结果作为项目竣工验收、审计决算的重要参考。</w:t>
      </w:r>
      <w:r>
        <w:rPr>
          <w:rFonts w:hint="eastAsia" w:ascii="仿宋_GB2312" w:hAnsi="仿宋_GB2312" w:eastAsia="仿宋_GB2312" w:cs="仿宋_GB2312"/>
          <w:sz w:val="32"/>
          <w:szCs w:val="32"/>
          <w:lang w:eastAsia="zh-CN"/>
        </w:rPr>
        <w:t>（责任单位：县级协调机制成员单位，各乡（镇）人民政府）</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50" w:lineRule="exact"/>
        <w:ind w:left="0" w:right="0" w:firstLine="640" w:firstLineChars="200"/>
        <w:jc w:val="both"/>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val="0"/>
          <w:bCs w:val="0"/>
          <w:sz w:val="32"/>
          <w:szCs w:val="32"/>
        </w:rPr>
        <w:t>（四）推广使用国家规范流程和参考模板。</w:t>
      </w:r>
      <w:r>
        <w:rPr>
          <w:rFonts w:hint="default" w:ascii="仿宋_GB2312" w:hAnsi="仿宋_GB2312" w:eastAsia="仿宋_GB2312" w:cs="仿宋_GB2312"/>
          <w:sz w:val="32"/>
          <w:szCs w:val="32"/>
          <w:lang w:eastAsia="zh-CN"/>
        </w:rPr>
        <w:t>各</w:t>
      </w:r>
      <w:r>
        <w:rPr>
          <w:rFonts w:hint="eastAsia" w:ascii="仿宋_GB2312" w:hAnsi="仿宋_GB2312" w:eastAsia="仿宋_GB2312" w:cs="仿宋_GB2312"/>
          <w:sz w:val="32"/>
          <w:szCs w:val="32"/>
          <w:lang w:eastAsia="zh-CN"/>
        </w:rPr>
        <w:t>单位</w:t>
      </w:r>
      <w:r>
        <w:rPr>
          <w:rFonts w:hint="default" w:ascii="仿宋_GB2312" w:hAnsi="仿宋_GB2312" w:eastAsia="仿宋_GB2312" w:cs="仿宋_GB2312"/>
          <w:sz w:val="32"/>
          <w:szCs w:val="32"/>
          <w:lang w:eastAsia="zh-CN"/>
        </w:rPr>
        <w:t>可结合当地实际，推广使用国家发展改革委制定的重点工程项目以工代赈工作规范流程和群众务工组织、劳务报酬发放、就业技能培训、以工代赈情况综合评价等参考模板，推动工作标准化、流程化、制度化，要采取政策宣讲解读、专题培训等方式，指导当地干部和群众完整准确全面把握相关工作要求和管理规范，切实抓好重点工程项目以工代赈工作。</w:t>
      </w:r>
      <w:r>
        <w:rPr>
          <w:rFonts w:hint="eastAsia" w:ascii="仿宋_GB2312" w:hAnsi="仿宋_GB2312" w:eastAsia="仿宋_GB2312" w:cs="仿宋_GB2312"/>
          <w:sz w:val="32"/>
          <w:szCs w:val="32"/>
          <w:lang w:eastAsia="zh-CN"/>
        </w:rPr>
        <w:t>（责任单位：县级协调机制成员单位，各乡（镇）人民政府）</w:t>
      </w:r>
    </w:p>
    <w:p>
      <w:pPr>
        <w:keepNext w:val="0"/>
        <w:keepLines w:val="0"/>
        <w:pageBreakBefore w:val="0"/>
        <w:widowControl w:val="0"/>
        <w:kinsoku/>
        <w:wordWrap/>
        <w:overflowPunct/>
        <w:topLinePunct w:val="0"/>
        <w:autoSpaceDE/>
        <w:autoSpaceDN/>
        <w:bidi w:val="0"/>
        <w:adjustRightInd w:val="0"/>
        <w:snapToGrid w:val="0"/>
        <w:spacing w:line="650" w:lineRule="exact"/>
        <w:ind w:left="0" w:firstLine="640" w:firstLineChars="200"/>
        <w:textAlignment w:val="auto"/>
        <w:outlineLvl w:val="0"/>
        <w:rPr>
          <w:rFonts w:hint="eastAsia" w:ascii="Times New Roman" w:hAnsi="Times New Roman" w:eastAsia="黑体" w:cs="Times New Roman"/>
          <w:bCs/>
          <w:kern w:val="44"/>
          <w:sz w:val="32"/>
          <w:szCs w:val="32"/>
        </w:rPr>
      </w:pPr>
      <w:r>
        <w:rPr>
          <w:rFonts w:hint="eastAsia" w:ascii="Times New Roman" w:hAnsi="Times New Roman" w:eastAsia="黑体" w:cs="Times New Roman"/>
          <w:bCs/>
          <w:kern w:val="44"/>
          <w:sz w:val="32"/>
          <w:szCs w:val="32"/>
        </w:rPr>
        <w:t>六、组织保障</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50" w:lineRule="exact"/>
        <w:ind w:left="0" w:right="0" w:firstLine="640" w:firstLineChars="200"/>
        <w:jc w:val="both"/>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val="0"/>
          <w:bCs w:val="0"/>
          <w:sz w:val="32"/>
          <w:szCs w:val="32"/>
        </w:rPr>
        <w:t>（一）加强组织领导。</w:t>
      </w:r>
      <w:r>
        <w:rPr>
          <w:rFonts w:hint="eastAsia" w:ascii="仿宋_GB2312" w:hAnsi="仿宋_GB2312" w:eastAsia="仿宋_GB2312" w:cs="仿宋_GB2312"/>
          <w:sz w:val="32"/>
          <w:szCs w:val="32"/>
          <w:lang w:eastAsia="zh-CN"/>
        </w:rPr>
        <w:t>县发改局</w:t>
      </w:r>
      <w:r>
        <w:rPr>
          <w:rFonts w:hint="default" w:ascii="仿宋_GB2312" w:hAnsi="仿宋_GB2312" w:eastAsia="仿宋_GB2312" w:cs="仿宋_GB2312"/>
          <w:sz w:val="32"/>
          <w:szCs w:val="32"/>
          <w:lang w:eastAsia="zh-CN"/>
        </w:rPr>
        <w:t>要同</w:t>
      </w:r>
      <w:r>
        <w:rPr>
          <w:rFonts w:hint="eastAsia" w:ascii="仿宋_GB2312" w:hAnsi="仿宋_GB2312" w:eastAsia="仿宋_GB2312" w:cs="仿宋_GB2312"/>
          <w:sz w:val="32"/>
          <w:szCs w:val="32"/>
          <w:lang w:eastAsia="zh-CN"/>
        </w:rPr>
        <w:t>各单位</w:t>
      </w:r>
      <w:r>
        <w:rPr>
          <w:rFonts w:hint="default" w:ascii="仿宋_GB2312" w:hAnsi="仿宋_GB2312" w:eastAsia="仿宋_GB2312" w:cs="仿宋_GB2312"/>
          <w:sz w:val="32"/>
          <w:szCs w:val="32"/>
          <w:lang w:eastAsia="zh-CN"/>
        </w:rPr>
        <w:t>加强协调，密切配合，</w:t>
      </w:r>
      <w:r>
        <w:rPr>
          <w:rFonts w:hint="eastAsia" w:ascii="仿宋_GB2312" w:hAnsi="仿宋_GB2312" w:eastAsia="仿宋_GB2312" w:cs="仿宋_GB2312"/>
          <w:sz w:val="32"/>
          <w:szCs w:val="32"/>
          <w:lang w:eastAsia="zh-CN"/>
        </w:rPr>
        <w:t>确保</w:t>
      </w:r>
      <w:r>
        <w:rPr>
          <w:rFonts w:hint="default" w:ascii="仿宋_GB2312" w:hAnsi="仿宋_GB2312" w:eastAsia="仿宋_GB2312" w:cs="仿宋_GB2312"/>
          <w:sz w:val="32"/>
          <w:szCs w:val="32"/>
          <w:lang w:eastAsia="zh-CN"/>
        </w:rPr>
        <w:t>重点工程项目实施以工代赈</w:t>
      </w:r>
      <w:r>
        <w:rPr>
          <w:rFonts w:hint="eastAsia" w:ascii="仿宋_GB2312" w:hAnsi="仿宋_GB2312" w:eastAsia="仿宋_GB2312" w:cs="仿宋_GB2312"/>
          <w:sz w:val="32"/>
          <w:szCs w:val="32"/>
          <w:lang w:eastAsia="zh-CN"/>
        </w:rPr>
        <w:t>措施落地见效</w:t>
      </w:r>
      <w:r>
        <w:rPr>
          <w:rFonts w:hint="default" w:ascii="仿宋_GB2312" w:hAnsi="仿宋_GB2312" w:eastAsia="仿宋_GB2312" w:cs="仿宋_GB2312"/>
          <w:sz w:val="32"/>
          <w:szCs w:val="32"/>
          <w:lang w:eastAsia="zh-CN"/>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各乡（镇）人民政府</w:t>
      </w:r>
      <w:r>
        <w:rPr>
          <w:rFonts w:hint="default" w:ascii="仿宋_GB2312" w:hAnsi="仿宋_GB2312" w:eastAsia="仿宋_GB2312" w:cs="仿宋_GB2312"/>
          <w:color w:val="000000" w:themeColor="text1"/>
          <w:sz w:val="32"/>
          <w:szCs w:val="32"/>
          <w:lang w:eastAsia="zh-CN"/>
          <w14:textFill>
            <w14:solidFill>
              <w14:schemeClr w14:val="tx1"/>
            </w14:solidFill>
          </w14:textFill>
        </w:rPr>
        <w:t>要落实属地责任，</w:t>
      </w:r>
      <w:r>
        <w:rPr>
          <w:rFonts w:hint="default" w:ascii="仿宋_GB2312" w:hAnsi="仿宋_GB2312" w:eastAsia="仿宋_GB2312" w:cs="仿宋_GB2312"/>
          <w:b w:val="0"/>
          <w:bCs w:val="0"/>
          <w:color w:val="000000" w:themeColor="text1"/>
          <w:sz w:val="32"/>
          <w:szCs w:val="32"/>
          <w:lang w:eastAsia="zh-CN"/>
          <w14:textFill>
            <w14:solidFill>
              <w14:schemeClr w14:val="tx1"/>
            </w14:solidFill>
          </w14:textFill>
        </w:rPr>
        <w:t>建立健全工作协调机制，</w:t>
      </w:r>
      <w:r>
        <w:rPr>
          <w:rFonts w:hint="default" w:ascii="仿宋_GB2312" w:hAnsi="仿宋_GB2312" w:eastAsia="仿宋_GB2312" w:cs="仿宋_GB2312"/>
          <w:color w:val="000000" w:themeColor="text1"/>
          <w:sz w:val="32"/>
          <w:szCs w:val="32"/>
          <w:lang w:eastAsia="zh-CN"/>
          <w14:textFill>
            <w14:solidFill>
              <w14:schemeClr w14:val="tx1"/>
            </w14:solidFill>
          </w14:textFill>
        </w:rPr>
        <w:t>细</w:t>
      </w:r>
      <w:r>
        <w:rPr>
          <w:rFonts w:hint="default" w:ascii="仿宋_GB2312" w:hAnsi="仿宋_GB2312" w:eastAsia="仿宋_GB2312" w:cs="仿宋_GB2312"/>
          <w:sz w:val="32"/>
          <w:szCs w:val="32"/>
          <w:lang w:eastAsia="zh-CN"/>
        </w:rPr>
        <w:t>化工作举措，配齐配强工作力量，加强与项目业主单位、施工单位的沟通衔接，抓好以工代赈务工人员组织、劳动技能培训和安全生产培训、劳务报酬发放监管等具体工作，</w:t>
      </w:r>
      <w:r>
        <w:rPr>
          <w:rFonts w:hint="eastAsia" w:ascii="仿宋_GB2312" w:hAnsi="仿宋_GB2312" w:eastAsia="仿宋_GB2312" w:cs="仿宋_GB2312"/>
          <w:sz w:val="32"/>
          <w:szCs w:val="32"/>
          <w:lang w:eastAsia="zh-CN"/>
        </w:rPr>
        <w:t>扎实推进</w:t>
      </w:r>
      <w:r>
        <w:rPr>
          <w:rFonts w:hint="default" w:ascii="仿宋_GB2312" w:hAnsi="仿宋_GB2312" w:eastAsia="仿宋_GB2312" w:cs="仿宋_GB2312"/>
          <w:sz w:val="32"/>
          <w:szCs w:val="32"/>
          <w:lang w:eastAsia="zh-CN"/>
        </w:rPr>
        <w:t>重点工程项目实施以工代赈。</w:t>
      </w:r>
      <w:r>
        <w:rPr>
          <w:rFonts w:hint="eastAsia" w:ascii="仿宋_GB2312" w:hAnsi="仿宋_GB2312" w:eastAsia="仿宋_GB2312" w:cs="仿宋_GB2312"/>
          <w:sz w:val="32"/>
          <w:szCs w:val="32"/>
          <w:lang w:eastAsia="zh-CN"/>
        </w:rPr>
        <w:t>（责任单位：县级协调机制成员单位，各乡（镇）人民政府）</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50" w:lineRule="exact"/>
        <w:ind w:left="0" w:right="0" w:firstLine="640" w:firstLineChars="200"/>
        <w:jc w:val="both"/>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val="0"/>
          <w:bCs w:val="0"/>
          <w:sz w:val="32"/>
          <w:szCs w:val="32"/>
        </w:rPr>
        <w:t>（二）加强资金保障。</w:t>
      </w:r>
      <w:r>
        <w:rPr>
          <w:rFonts w:hint="eastAsia" w:ascii="仿宋_GB2312" w:hAnsi="仿宋_GB2312" w:eastAsia="仿宋_GB2312" w:cs="仿宋_GB2312"/>
          <w:sz w:val="32"/>
          <w:szCs w:val="32"/>
          <w:lang w:eastAsia="zh-CN"/>
        </w:rPr>
        <w:t>积极争取中央投资在重点工程项目配套设施建设中实施一批以工代赈项目，劳务报酬占中央和省级资金比例提高到</w:t>
      </w:r>
      <w:r>
        <w:rPr>
          <w:rFonts w:hint="eastAsia" w:ascii="仿宋_GB2312" w:hAnsi="仿宋_GB2312" w:eastAsia="仿宋_GB2312" w:cs="仿宋_GB2312"/>
          <w:sz w:val="32"/>
          <w:szCs w:val="32"/>
          <w:lang w:val="en-US" w:eastAsia="zh-CN"/>
        </w:rPr>
        <w:t>30%以上，并尽可能提高比例。</w:t>
      </w:r>
      <w:r>
        <w:rPr>
          <w:rFonts w:hint="eastAsia" w:ascii="仿宋_GB2312" w:hAnsi="仿宋_GB2312" w:eastAsia="仿宋_GB2312" w:cs="仿宋_GB2312"/>
          <w:sz w:val="32"/>
          <w:szCs w:val="32"/>
          <w:lang w:eastAsia="zh-CN"/>
        </w:rPr>
        <w:t>各单位</w:t>
      </w:r>
      <w:r>
        <w:rPr>
          <w:rFonts w:hint="default" w:ascii="仿宋_GB2312" w:hAnsi="仿宋_GB2312" w:eastAsia="仿宋_GB2312" w:cs="仿宋_GB2312"/>
          <w:sz w:val="32"/>
          <w:szCs w:val="32"/>
          <w:lang w:eastAsia="zh-CN"/>
        </w:rPr>
        <w:t>要根据自身财力积极安排以工代赈</w:t>
      </w:r>
      <w:r>
        <w:rPr>
          <w:rFonts w:hint="eastAsia" w:ascii="仿宋_GB2312" w:hAnsi="仿宋_GB2312" w:eastAsia="仿宋_GB2312" w:cs="仿宋_GB2312"/>
          <w:sz w:val="32"/>
          <w:szCs w:val="32"/>
          <w:lang w:eastAsia="zh-CN"/>
        </w:rPr>
        <w:t>专项及配套资金</w:t>
      </w:r>
      <w:r>
        <w:rPr>
          <w:rFonts w:hint="default" w:ascii="仿宋_GB2312" w:hAnsi="仿宋_GB2312" w:eastAsia="仿宋_GB2312" w:cs="仿宋_GB2312"/>
          <w:sz w:val="32"/>
          <w:szCs w:val="32"/>
          <w:lang w:eastAsia="zh-CN"/>
        </w:rPr>
        <w:t>，统筹相关领域财政资金加大以工代赈投入。鼓励各类金融</w:t>
      </w:r>
      <w:r>
        <w:rPr>
          <w:rFonts w:hint="eastAsia" w:ascii="仿宋_GB2312" w:hAnsi="仿宋_GB2312" w:eastAsia="仿宋_GB2312" w:cs="仿宋_GB2312"/>
          <w:sz w:val="32"/>
          <w:szCs w:val="32"/>
          <w:lang w:eastAsia="zh-CN"/>
        </w:rPr>
        <w:t>和</w:t>
      </w:r>
      <w:r>
        <w:rPr>
          <w:rFonts w:hint="default" w:ascii="仿宋_GB2312" w:hAnsi="仿宋_GB2312" w:eastAsia="仿宋_GB2312" w:cs="仿宋_GB2312"/>
          <w:sz w:val="32"/>
          <w:szCs w:val="32"/>
          <w:lang w:eastAsia="zh-CN"/>
        </w:rPr>
        <w:t>机构依法依规加大对实施以工代赈项目的融资支持力度。引导民营企业、社会组织等各类社会力量采取以工代赈方式组织实施公益性项目。</w:t>
      </w:r>
      <w:r>
        <w:rPr>
          <w:rFonts w:hint="eastAsia" w:ascii="仿宋_GB2312" w:hAnsi="仿宋_GB2312" w:eastAsia="仿宋_GB2312" w:cs="仿宋_GB2312"/>
          <w:sz w:val="32"/>
          <w:szCs w:val="32"/>
          <w:lang w:eastAsia="zh-CN"/>
        </w:rPr>
        <w:t>（责任单位：</w:t>
      </w:r>
      <w:r>
        <w:rPr>
          <w:rFonts w:hint="eastAsia" w:ascii="仿宋_GB2312" w:hAnsi="仿宋_GB2312" w:eastAsia="仿宋_GB2312" w:cs="仿宋_GB2312"/>
          <w:color w:val="auto"/>
          <w:sz w:val="32"/>
          <w:szCs w:val="32"/>
          <w:lang w:eastAsia="zh-CN"/>
        </w:rPr>
        <w:t>县发改局、</w:t>
      </w:r>
      <w:r>
        <w:rPr>
          <w:rFonts w:hint="eastAsia" w:ascii="仿宋_GB2312" w:hAnsi="仿宋_GB2312" w:eastAsia="仿宋_GB2312" w:cs="仿宋_GB2312"/>
          <w:sz w:val="32"/>
          <w:szCs w:val="32"/>
          <w:lang w:eastAsia="zh-CN"/>
        </w:rPr>
        <w:t>县财政局，各乡（镇）人民政府）</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50" w:lineRule="exact"/>
        <w:ind w:left="0" w:right="0" w:firstLine="640" w:firstLineChars="200"/>
        <w:jc w:val="both"/>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val="0"/>
          <w:bCs w:val="0"/>
          <w:sz w:val="32"/>
          <w:szCs w:val="32"/>
        </w:rPr>
        <w:t>（三）</w:t>
      </w:r>
      <w:r>
        <w:rPr>
          <w:rFonts w:hint="eastAsia" w:ascii="楷体_GB2312" w:hAnsi="楷体_GB2312" w:eastAsia="楷体_GB2312" w:cs="楷体_GB2312"/>
          <w:b w:val="0"/>
          <w:bCs w:val="0"/>
          <w:sz w:val="32"/>
          <w:szCs w:val="32"/>
          <w:lang w:eastAsia="zh-CN"/>
        </w:rPr>
        <w:t>提高工作成效</w:t>
      </w:r>
      <w:r>
        <w:rPr>
          <w:rFonts w:hint="eastAsia" w:ascii="楷体_GB2312" w:hAnsi="楷体_GB2312" w:eastAsia="楷体_GB2312" w:cs="楷体_GB2312"/>
          <w:b w:val="0"/>
          <w:bCs w:val="0"/>
          <w:sz w:val="32"/>
          <w:szCs w:val="32"/>
        </w:rPr>
        <w:t>。</w:t>
      </w:r>
      <w:r>
        <w:rPr>
          <w:rFonts w:hint="eastAsia" w:ascii="楷体_GB2312" w:hAnsi="楷体_GB2312" w:eastAsia="楷体_GB2312" w:cs="楷体_GB2312"/>
          <w:b w:val="0"/>
          <w:bCs w:val="0"/>
          <w:sz w:val="32"/>
          <w:szCs w:val="32"/>
          <w:lang w:eastAsia="zh-CN"/>
        </w:rPr>
        <w:t>县</w:t>
      </w:r>
      <w:r>
        <w:rPr>
          <w:rFonts w:hint="eastAsia" w:ascii="仿宋_GB2312" w:hAnsi="仿宋_GB2312" w:eastAsia="仿宋_GB2312" w:cs="仿宋_GB2312"/>
          <w:sz w:val="32"/>
          <w:szCs w:val="32"/>
          <w:lang w:eastAsia="zh-CN"/>
        </w:rPr>
        <w:t>发改局</w:t>
      </w:r>
      <w:r>
        <w:rPr>
          <w:rFonts w:hint="default" w:ascii="仿宋_GB2312" w:hAnsi="仿宋_GB2312" w:eastAsia="仿宋_GB2312" w:cs="仿宋_GB2312"/>
          <w:sz w:val="32"/>
          <w:szCs w:val="32"/>
          <w:lang w:eastAsia="zh-CN"/>
        </w:rPr>
        <w:t>要坚决落实以工代赈政策要求，联合相关</w:t>
      </w:r>
      <w:r>
        <w:rPr>
          <w:rFonts w:hint="eastAsia" w:ascii="仿宋_GB2312" w:hAnsi="仿宋_GB2312" w:eastAsia="仿宋_GB2312" w:cs="仿宋_GB2312"/>
          <w:sz w:val="32"/>
          <w:szCs w:val="32"/>
          <w:lang w:eastAsia="zh-CN"/>
        </w:rPr>
        <w:t>单位</w:t>
      </w:r>
      <w:r>
        <w:rPr>
          <w:rFonts w:hint="default" w:ascii="仿宋_GB2312" w:hAnsi="仿宋_GB2312" w:eastAsia="仿宋_GB2312" w:cs="仿宋_GB2312"/>
          <w:sz w:val="32"/>
          <w:szCs w:val="32"/>
          <w:lang w:eastAsia="zh-CN"/>
        </w:rPr>
        <w:t>、项目业主单位对重点工程项目实施以工代赈情况加强监管检查，进行定期调度、实地督导、联合调研，并纳入现有以工代赈工作成效综合评价范围。相关部门要将本领域重点工程项目实施以工代赈工作成效纳入现有考核评价范围。</w:t>
      </w:r>
      <w:r>
        <w:rPr>
          <w:rFonts w:hint="eastAsia" w:ascii="仿宋_GB2312" w:hAnsi="仿宋_GB2312" w:eastAsia="仿宋_GB2312" w:cs="仿宋_GB2312"/>
          <w:sz w:val="32"/>
          <w:szCs w:val="32"/>
          <w:lang w:eastAsia="zh-CN"/>
        </w:rPr>
        <w:t>（责任单位：县级协调机制成员单位）</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50" w:lineRule="exact"/>
        <w:ind w:left="0" w:right="0" w:firstLine="640" w:firstLineChars="200"/>
        <w:jc w:val="both"/>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val="0"/>
          <w:bCs w:val="0"/>
          <w:sz w:val="32"/>
          <w:szCs w:val="32"/>
        </w:rPr>
        <w:t>（四）加强政策宣传。</w:t>
      </w:r>
      <w:r>
        <w:rPr>
          <w:rFonts w:hint="default" w:ascii="仿宋_GB2312" w:hAnsi="仿宋_GB2312" w:eastAsia="仿宋_GB2312" w:cs="仿宋_GB2312"/>
          <w:sz w:val="32"/>
          <w:szCs w:val="32"/>
          <w:lang w:eastAsia="zh-CN"/>
        </w:rPr>
        <w:t>各</w:t>
      </w:r>
      <w:r>
        <w:rPr>
          <w:rFonts w:hint="eastAsia" w:ascii="仿宋_GB2312" w:hAnsi="仿宋_GB2312" w:eastAsia="仿宋_GB2312" w:cs="仿宋_GB2312"/>
          <w:sz w:val="32"/>
          <w:szCs w:val="32"/>
          <w:lang w:eastAsia="zh-CN"/>
        </w:rPr>
        <w:t>单位</w:t>
      </w:r>
      <w:r>
        <w:rPr>
          <w:rFonts w:hint="default" w:ascii="仿宋_GB2312" w:hAnsi="仿宋_GB2312" w:eastAsia="仿宋_GB2312" w:cs="仿宋_GB2312"/>
          <w:sz w:val="32"/>
          <w:szCs w:val="32"/>
          <w:lang w:eastAsia="zh-CN"/>
        </w:rPr>
        <w:t>要加强重点工程项目实施以工代赈政策宣传，通过召开培训会、经验交流会、项目现场会等多种形式，深入宣传解读新时期重点工程项目实施以工代赈政策要求，及时总结推广典型经验做法，讲好以工代赈促进群众就地就近就业、提高劳动致富技能、增加群众收入创造幸福生活的鲜活故事，营造大力实施以工代赈的良好舆论氛围。</w:t>
      </w:r>
      <w:r>
        <w:rPr>
          <w:rFonts w:hint="eastAsia" w:ascii="仿宋_GB2312" w:hAnsi="仿宋_GB2312" w:eastAsia="仿宋_GB2312" w:cs="仿宋_GB2312"/>
          <w:sz w:val="32"/>
          <w:szCs w:val="32"/>
          <w:lang w:eastAsia="zh-CN"/>
        </w:rPr>
        <w:t>（责任单位：县级协调机制成员单位，各乡（镇）人民政府）</w:t>
      </w:r>
    </w:p>
    <w:p>
      <w:pPr>
        <w:keepNext w:val="0"/>
        <w:keepLines w:val="0"/>
        <w:pageBreakBefore w:val="0"/>
        <w:widowControl w:val="0"/>
        <w:kinsoku/>
        <w:wordWrap/>
        <w:overflowPunct/>
        <w:topLinePunct w:val="0"/>
        <w:autoSpaceDE/>
        <w:autoSpaceDN/>
        <w:bidi w:val="0"/>
        <w:spacing w:line="650" w:lineRule="exact"/>
        <w:jc w:val="left"/>
        <w:textAlignment w:val="auto"/>
        <w:outlineLvl w:val="0"/>
        <w:rPr>
          <w:rFonts w:hint="default" w:ascii="CESI黑体-GB2312" w:hAnsi="CESI黑体-GB2312" w:eastAsia="CESI黑体-GB2312" w:cs="CESI黑体-GB2312"/>
          <w:b w:val="0"/>
          <w:bCs/>
          <w:sz w:val="32"/>
          <w:szCs w:val="32"/>
          <w:lang w:val="en" w:eastAsia="zh-CN"/>
        </w:rPr>
      </w:pPr>
    </w:p>
    <w:p>
      <w:pPr>
        <w:keepNext w:val="0"/>
        <w:keepLines w:val="0"/>
        <w:pageBreakBefore w:val="0"/>
        <w:widowControl w:val="0"/>
        <w:kinsoku/>
        <w:wordWrap/>
        <w:overflowPunct/>
        <w:topLinePunct w:val="0"/>
        <w:autoSpaceDE/>
        <w:autoSpaceDN/>
        <w:bidi w:val="0"/>
        <w:spacing w:line="650" w:lineRule="exact"/>
        <w:jc w:val="left"/>
        <w:textAlignment w:val="auto"/>
        <w:outlineLvl w:val="0"/>
        <w:rPr>
          <w:rFonts w:hint="default" w:ascii="CESI黑体-GB2312" w:hAnsi="CESI黑体-GB2312" w:eastAsia="CESI黑体-GB2312" w:cs="CESI黑体-GB2312"/>
          <w:b w:val="0"/>
          <w:bCs/>
          <w:sz w:val="32"/>
          <w:szCs w:val="32"/>
          <w:lang w:val="en" w:eastAsia="zh-CN"/>
        </w:rPr>
      </w:pPr>
    </w:p>
    <w:p>
      <w:pPr>
        <w:pStyle w:val="3"/>
        <w:rPr>
          <w:rFonts w:hint="default" w:ascii="CESI黑体-GB2312" w:hAnsi="CESI黑体-GB2312" w:eastAsia="CESI黑体-GB2312" w:cs="CESI黑体-GB2312"/>
          <w:b w:val="0"/>
          <w:bCs/>
          <w:sz w:val="32"/>
          <w:szCs w:val="32"/>
          <w:lang w:val="en" w:eastAsia="zh-CN"/>
        </w:rPr>
      </w:pPr>
    </w:p>
    <w:p>
      <w:pPr>
        <w:rPr>
          <w:rFonts w:hint="default" w:ascii="CESI黑体-GB2312" w:hAnsi="CESI黑体-GB2312" w:eastAsia="CESI黑体-GB2312" w:cs="CESI黑体-GB2312"/>
          <w:b w:val="0"/>
          <w:bCs/>
          <w:sz w:val="32"/>
          <w:szCs w:val="32"/>
          <w:lang w:val="en" w:eastAsia="zh-CN"/>
        </w:rPr>
      </w:pPr>
    </w:p>
    <w:p>
      <w:pPr>
        <w:pStyle w:val="2"/>
        <w:rPr>
          <w:rFonts w:hint="default" w:ascii="CESI黑体-GB2312" w:hAnsi="CESI黑体-GB2312" w:eastAsia="CESI黑体-GB2312" w:cs="CESI黑体-GB2312"/>
          <w:b w:val="0"/>
          <w:bCs/>
          <w:sz w:val="32"/>
          <w:szCs w:val="32"/>
          <w:lang w:val="en" w:eastAsia="zh-CN"/>
        </w:rPr>
      </w:pPr>
    </w:p>
    <w:p>
      <w:pPr>
        <w:pStyle w:val="2"/>
        <w:rPr>
          <w:rFonts w:hint="default" w:ascii="CESI黑体-GB2312" w:hAnsi="CESI黑体-GB2312" w:eastAsia="CESI黑体-GB2312" w:cs="CESI黑体-GB2312"/>
          <w:b w:val="0"/>
          <w:bCs/>
          <w:sz w:val="32"/>
          <w:szCs w:val="32"/>
          <w:lang w:val="en" w:eastAsia="zh-CN"/>
        </w:rPr>
      </w:pPr>
    </w:p>
    <w:p>
      <w:pPr>
        <w:pStyle w:val="2"/>
        <w:rPr>
          <w:rFonts w:hint="default" w:ascii="CESI黑体-GB2312" w:hAnsi="CESI黑体-GB2312" w:eastAsia="CESI黑体-GB2312" w:cs="CESI黑体-GB2312"/>
          <w:b w:val="0"/>
          <w:bCs/>
          <w:sz w:val="32"/>
          <w:szCs w:val="32"/>
          <w:lang w:val="en" w:eastAsia="zh-CN"/>
        </w:rPr>
      </w:pPr>
    </w:p>
    <w:p>
      <w:pPr>
        <w:pStyle w:val="2"/>
        <w:rPr>
          <w:rFonts w:hint="default" w:ascii="CESI黑体-GB2312" w:hAnsi="CESI黑体-GB2312" w:eastAsia="CESI黑体-GB2312" w:cs="CESI黑体-GB2312"/>
          <w:b w:val="0"/>
          <w:bCs/>
          <w:sz w:val="32"/>
          <w:szCs w:val="32"/>
          <w:lang w:val="en" w:eastAsia="zh-CN"/>
        </w:rPr>
      </w:pPr>
    </w:p>
    <w:p>
      <w:pPr>
        <w:rPr>
          <w:rFonts w:hint="default" w:ascii="CESI黑体-GB2312" w:hAnsi="CESI黑体-GB2312" w:eastAsia="CESI黑体-GB2312" w:cs="CESI黑体-GB2312"/>
          <w:b w:val="0"/>
          <w:bCs/>
          <w:sz w:val="32"/>
          <w:szCs w:val="32"/>
          <w:lang w:val="en" w:eastAsia="zh-CN"/>
        </w:rPr>
      </w:pPr>
    </w:p>
    <w:p>
      <w:pPr>
        <w:keepNext w:val="0"/>
        <w:keepLines w:val="0"/>
        <w:pageBreakBefore w:val="0"/>
        <w:widowControl w:val="0"/>
        <w:kinsoku/>
        <w:wordWrap/>
        <w:overflowPunct/>
        <w:topLinePunct w:val="0"/>
        <w:autoSpaceDE/>
        <w:autoSpaceDN/>
        <w:bidi w:val="0"/>
        <w:adjustRightInd w:val="0"/>
        <w:snapToGrid w:val="0"/>
        <w:spacing w:line="650" w:lineRule="exact"/>
        <w:jc w:val="left"/>
        <w:textAlignment w:val="auto"/>
        <w:outlineLvl w:val="0"/>
        <w:rPr>
          <w:rFonts w:hint="default" w:ascii="CESI黑体-GB2312" w:hAnsi="CESI黑体-GB2312" w:eastAsia="CESI黑体-GB2312" w:cs="CESI黑体-GB2312"/>
          <w:b w:val="0"/>
          <w:bCs/>
          <w:sz w:val="32"/>
          <w:szCs w:val="32"/>
          <w:lang w:val="en" w:eastAsia="zh-CN"/>
        </w:rPr>
      </w:pPr>
    </w:p>
    <w:p>
      <w:pPr>
        <w:keepNext w:val="0"/>
        <w:keepLines w:val="0"/>
        <w:pageBreakBefore w:val="0"/>
        <w:widowControl w:val="0"/>
        <w:kinsoku/>
        <w:wordWrap/>
        <w:overflowPunct/>
        <w:topLinePunct w:val="0"/>
        <w:autoSpaceDE/>
        <w:autoSpaceDN/>
        <w:bidi w:val="0"/>
        <w:adjustRightInd w:val="0"/>
        <w:snapToGrid w:val="0"/>
        <w:spacing w:line="650" w:lineRule="exact"/>
        <w:jc w:val="left"/>
        <w:textAlignment w:val="auto"/>
        <w:outlineLvl w:val="0"/>
        <w:rPr>
          <w:rFonts w:hint="default" w:ascii="CESI黑体-GB2312" w:hAnsi="CESI黑体-GB2312" w:eastAsia="CESI黑体-GB2312" w:cs="CESI黑体-GB2312"/>
          <w:b w:val="0"/>
          <w:bCs/>
          <w:sz w:val="32"/>
          <w:szCs w:val="32"/>
          <w:lang w:val="en" w:eastAsia="zh-CN"/>
        </w:rPr>
      </w:pPr>
    </w:p>
    <w:p>
      <w:pPr>
        <w:keepNext w:val="0"/>
        <w:keepLines w:val="0"/>
        <w:pageBreakBefore w:val="0"/>
        <w:widowControl w:val="0"/>
        <w:kinsoku/>
        <w:wordWrap/>
        <w:overflowPunct/>
        <w:topLinePunct w:val="0"/>
        <w:autoSpaceDE/>
        <w:autoSpaceDN/>
        <w:bidi w:val="0"/>
        <w:adjustRightInd w:val="0"/>
        <w:snapToGrid w:val="0"/>
        <w:spacing w:line="650" w:lineRule="exact"/>
        <w:jc w:val="left"/>
        <w:textAlignment w:val="auto"/>
        <w:outlineLvl w:val="0"/>
        <w:rPr>
          <w:rFonts w:hint="default"/>
          <w:lang w:val="en" w:eastAsia="zh-CN"/>
        </w:rPr>
      </w:pPr>
      <w:r>
        <w:rPr>
          <w:rFonts w:hint="default" w:ascii="CESI黑体-GB2312" w:hAnsi="CESI黑体-GB2312" w:eastAsia="CESI黑体-GB2312" w:cs="CESI黑体-GB2312"/>
          <w:b w:val="0"/>
          <w:bCs/>
          <w:sz w:val="32"/>
          <w:szCs w:val="32"/>
          <w:lang w:val="en" w:eastAsia="zh-CN"/>
        </w:rPr>
        <w:t>附件</w:t>
      </w:r>
      <w:r>
        <w:rPr>
          <w:rFonts w:hint="eastAsia" w:ascii="CESI黑体-GB2312" w:hAnsi="CESI黑体-GB2312" w:eastAsia="CESI黑体-GB2312" w:cs="CESI黑体-GB2312"/>
          <w:b w:val="0"/>
          <w:bCs/>
          <w:sz w:val="32"/>
          <w:szCs w:val="32"/>
          <w:lang w:val="en-US" w:eastAsia="zh-CN"/>
        </w:rPr>
        <w:t>1</w:t>
      </w:r>
    </w:p>
    <w:p>
      <w:pPr>
        <w:keepNext w:val="0"/>
        <w:keepLines w:val="0"/>
        <w:pageBreakBefore w:val="0"/>
        <w:widowControl w:val="0"/>
        <w:kinsoku/>
        <w:wordWrap/>
        <w:overflowPunct/>
        <w:topLinePunct w:val="0"/>
        <w:autoSpaceDE/>
        <w:autoSpaceDN/>
        <w:bidi w:val="0"/>
        <w:adjustRightInd w:val="0"/>
        <w:snapToGrid w:val="0"/>
        <w:spacing w:line="650" w:lineRule="exact"/>
        <w:ind w:left="0" w:firstLine="640" w:firstLineChars="200"/>
        <w:textAlignment w:val="auto"/>
        <w:rPr>
          <w:rFonts w:hint="default" w:ascii="仿宋_GB2312" w:hAnsi="仿宋_GB2312" w:eastAsia="仿宋_GB2312" w:cs="仿宋_GB2312"/>
          <w:color w:val="auto"/>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val="0"/>
        <w:snapToGrid w:val="0"/>
        <w:spacing w:line="650" w:lineRule="exact"/>
        <w:ind w:left="0"/>
        <w:jc w:val="center"/>
        <w:textAlignment w:val="auto"/>
        <w:outlineLvl w:val="0"/>
        <w:rPr>
          <w:rFonts w:hint="eastAsia" w:ascii="方正小标宋简体" w:hAnsi="方正小标宋简体" w:eastAsia="方正小标宋简体" w:cs="方正小标宋简体"/>
          <w:b w:val="0"/>
          <w:bCs/>
          <w:spacing w:val="0"/>
          <w:sz w:val="44"/>
          <w:szCs w:val="44"/>
          <w:lang w:eastAsia="zh-CN"/>
        </w:rPr>
      </w:pPr>
      <w:r>
        <w:rPr>
          <w:rFonts w:hint="eastAsia" w:ascii="方正小标宋简体" w:hAnsi="方正小标宋简体" w:eastAsia="方正小标宋简体" w:cs="方正小标宋简体"/>
          <w:b w:val="0"/>
          <w:bCs/>
          <w:spacing w:val="0"/>
          <w:sz w:val="44"/>
          <w:szCs w:val="44"/>
          <w:lang w:eastAsia="zh-CN"/>
        </w:rPr>
        <w:t>全县重点工程项目以工代赈工作</w:t>
      </w:r>
    </w:p>
    <w:p>
      <w:pPr>
        <w:keepNext w:val="0"/>
        <w:keepLines w:val="0"/>
        <w:pageBreakBefore w:val="0"/>
        <w:widowControl w:val="0"/>
        <w:kinsoku/>
        <w:wordWrap/>
        <w:overflowPunct/>
        <w:topLinePunct w:val="0"/>
        <w:autoSpaceDE/>
        <w:autoSpaceDN/>
        <w:bidi w:val="0"/>
        <w:adjustRightInd w:val="0"/>
        <w:snapToGrid w:val="0"/>
        <w:spacing w:line="650" w:lineRule="exact"/>
        <w:ind w:left="0"/>
        <w:jc w:val="center"/>
        <w:textAlignment w:val="auto"/>
        <w:outlineLvl w:val="0"/>
        <w:rPr>
          <w:rFonts w:hint="eastAsia" w:ascii="方正小标宋_GBK" w:hAnsi="方正小标宋_GBK" w:eastAsia="方正小标宋_GBK" w:cs="方正小标宋_GBK"/>
          <w:b w:val="0"/>
          <w:bCs/>
          <w:spacing w:val="0"/>
          <w:sz w:val="44"/>
          <w:szCs w:val="44"/>
          <w:lang w:eastAsia="zh-CN"/>
        </w:rPr>
      </w:pPr>
      <w:r>
        <w:rPr>
          <w:rFonts w:hint="eastAsia" w:ascii="方正小标宋简体" w:hAnsi="方正小标宋简体" w:eastAsia="方正小标宋简体" w:cs="方正小标宋简体"/>
          <w:b w:val="0"/>
          <w:bCs/>
          <w:spacing w:val="0"/>
          <w:sz w:val="44"/>
          <w:szCs w:val="44"/>
          <w:lang w:eastAsia="zh-CN"/>
        </w:rPr>
        <w:t>县级协调机制</w:t>
      </w:r>
    </w:p>
    <w:p>
      <w:pPr>
        <w:keepNext w:val="0"/>
        <w:keepLines w:val="0"/>
        <w:pageBreakBefore w:val="0"/>
        <w:widowControl w:val="0"/>
        <w:kinsoku/>
        <w:wordWrap/>
        <w:overflowPunct/>
        <w:topLinePunct w:val="0"/>
        <w:autoSpaceDE/>
        <w:autoSpaceDN/>
        <w:bidi w:val="0"/>
        <w:adjustRightInd w:val="0"/>
        <w:snapToGrid w:val="0"/>
        <w:spacing w:line="650" w:lineRule="exact"/>
        <w:ind w:left="0" w:firstLine="640" w:firstLineChars="200"/>
        <w:textAlignment w:val="auto"/>
        <w:rPr>
          <w:rFonts w:hint="default" w:ascii="仿宋_GB2312" w:hAnsi="仿宋_GB2312" w:eastAsia="仿宋_GB2312" w:cs="仿宋_GB2312"/>
          <w:color w:val="auto"/>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val="0"/>
        <w:snapToGrid w:val="0"/>
        <w:spacing w:line="650" w:lineRule="exact"/>
        <w:ind w:left="0" w:firstLine="640" w:firstLineChars="200"/>
        <w:textAlignment w:val="auto"/>
        <w:outlineLvl w:val="0"/>
        <w:rPr>
          <w:rFonts w:ascii="Times New Roman" w:hAnsi="Times New Roman" w:eastAsia="黑体"/>
          <w:bCs/>
          <w:kern w:val="44"/>
          <w:sz w:val="32"/>
          <w:szCs w:val="32"/>
        </w:rPr>
      </w:pPr>
      <w:r>
        <w:rPr>
          <w:rFonts w:ascii="Times New Roman" w:hAnsi="Times New Roman" w:eastAsia="黑体"/>
          <w:bCs/>
          <w:kern w:val="44"/>
          <w:sz w:val="32"/>
          <w:szCs w:val="32"/>
        </w:rPr>
        <w:t>一、主要职能</w:t>
      </w:r>
    </w:p>
    <w:p>
      <w:pPr>
        <w:keepNext w:val="0"/>
        <w:keepLines w:val="0"/>
        <w:pageBreakBefore w:val="0"/>
        <w:widowControl w:val="0"/>
        <w:kinsoku/>
        <w:wordWrap/>
        <w:overflowPunct/>
        <w:topLinePunct w:val="0"/>
        <w:autoSpaceDE/>
        <w:autoSpaceDN/>
        <w:bidi w:val="0"/>
        <w:adjustRightInd w:val="0"/>
        <w:snapToGrid w:val="0"/>
        <w:spacing w:line="650" w:lineRule="exact"/>
        <w:ind w:left="0" w:firstLine="640" w:firstLineChars="200"/>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为加强协作，形成工作合力，建立全县重点工程项目以工代赈工作县级协调机制。负责综合研判城乡劳动力就业、防止返贫监测以及灾情疫情等情况，研究完善重点工程项目以工代赈落实机制，协调解决跨行业、跨领域的重大问题；研究各建设领域重点项目中能够实施以工代赈的建设任务和用工环节指导目录，研究适用以工代赈的重点工程项目年度实施清单；建立健全相关工作规范流程，督促指导各单位落实重点工程项目以工代赈要求；研究重点工程项目以工代赈工作典型推广等相关事项；研究多渠道扩大以工代赈投入，推动实施一批以工代赈专项投资项目支持重点工程配套设施建设，强化以工代赈专项投资项目与重点工程项目的衔接配套；研究落实县委、县政府和上级对口部门交办的其他相关工作。</w:t>
      </w:r>
    </w:p>
    <w:p>
      <w:pPr>
        <w:keepNext w:val="0"/>
        <w:keepLines w:val="0"/>
        <w:pageBreakBefore w:val="0"/>
        <w:widowControl w:val="0"/>
        <w:kinsoku/>
        <w:wordWrap/>
        <w:overflowPunct/>
        <w:topLinePunct w:val="0"/>
        <w:autoSpaceDE/>
        <w:autoSpaceDN/>
        <w:bidi w:val="0"/>
        <w:adjustRightInd w:val="0"/>
        <w:snapToGrid w:val="0"/>
        <w:spacing w:line="650" w:lineRule="exact"/>
        <w:ind w:left="0" w:firstLine="640" w:firstLineChars="200"/>
        <w:textAlignment w:val="auto"/>
        <w:outlineLvl w:val="0"/>
        <w:rPr>
          <w:rFonts w:ascii="Times New Roman" w:hAnsi="Times New Roman" w:eastAsia="黑体"/>
          <w:bCs/>
          <w:kern w:val="44"/>
          <w:sz w:val="32"/>
          <w:szCs w:val="32"/>
        </w:rPr>
      </w:pPr>
      <w:r>
        <w:rPr>
          <w:rFonts w:ascii="Times New Roman" w:hAnsi="Times New Roman" w:eastAsia="黑体"/>
          <w:bCs/>
          <w:kern w:val="44"/>
          <w:sz w:val="32"/>
          <w:szCs w:val="32"/>
        </w:rPr>
        <w:t>二、成员组成</w:t>
      </w:r>
    </w:p>
    <w:p>
      <w:pPr>
        <w:keepNext w:val="0"/>
        <w:keepLines w:val="0"/>
        <w:pageBreakBefore w:val="0"/>
        <w:widowControl w:val="0"/>
        <w:kinsoku/>
        <w:wordWrap/>
        <w:overflowPunct/>
        <w:topLinePunct w:val="0"/>
        <w:autoSpaceDE/>
        <w:autoSpaceDN/>
        <w:bidi w:val="0"/>
        <w:adjustRightInd w:val="0"/>
        <w:snapToGrid w:val="0"/>
        <w:spacing w:line="650" w:lineRule="exact"/>
        <w:ind w:left="0" w:firstLine="640" w:firstLineChars="200"/>
        <w:textAlignment w:val="auto"/>
        <w:rPr>
          <w:rFonts w:hint="default"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协调机制由风陵渡经济开发区、县发改局、县教育局、县民政局、县财政局、县人社局、县自然资源局、市生态环境局芮城分局、县住建局、县交通局、县水利局、县农业农村局、县文旅局、县卫健体局、县应急局、县行政审批服务管理局、县能源局、县林业局、</w:t>
      </w:r>
      <w:r>
        <w:rPr>
          <w:rFonts w:hint="eastAsia" w:ascii="仿宋_GB2312" w:hAnsi="仿宋_GB2312" w:eastAsia="仿宋_GB2312" w:cs="仿宋_GB2312"/>
          <w:color w:val="auto"/>
          <w:spacing w:val="-6"/>
          <w:kern w:val="0"/>
          <w:sz w:val="32"/>
          <w:szCs w:val="32"/>
          <w:lang w:val="en-US" w:eastAsia="zh-CN" w:bidi="ar"/>
        </w:rPr>
        <w:t>县乡村振兴服务中心、县项目推进中心、县通用机场服务中心等部门组成。</w:t>
      </w:r>
    </w:p>
    <w:p>
      <w:pPr>
        <w:keepNext w:val="0"/>
        <w:keepLines w:val="0"/>
        <w:pageBreakBefore w:val="0"/>
        <w:widowControl w:val="0"/>
        <w:kinsoku/>
        <w:wordWrap/>
        <w:overflowPunct/>
        <w:topLinePunct w:val="0"/>
        <w:autoSpaceDE/>
        <w:autoSpaceDN/>
        <w:bidi w:val="0"/>
        <w:adjustRightInd w:val="0"/>
        <w:snapToGrid w:val="0"/>
        <w:spacing w:line="650" w:lineRule="exact"/>
        <w:ind w:left="0" w:firstLine="640" w:firstLineChars="200"/>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协调机制召集人为县发改局分管负责同志，成员为其他成员单位分管负责同志，工作专班人员为各成员单位有关科室负责同志。协调机制办公室设在县发改局投资股，承担协调机制日常工作。成员单位可以根据工作需要增加，由协调机制办公室行文告知。</w:t>
      </w:r>
    </w:p>
    <w:p>
      <w:pPr>
        <w:keepNext w:val="0"/>
        <w:keepLines w:val="0"/>
        <w:pageBreakBefore w:val="0"/>
        <w:widowControl w:val="0"/>
        <w:kinsoku/>
        <w:wordWrap/>
        <w:overflowPunct/>
        <w:topLinePunct w:val="0"/>
        <w:autoSpaceDE/>
        <w:autoSpaceDN/>
        <w:bidi w:val="0"/>
        <w:adjustRightInd w:val="0"/>
        <w:snapToGrid w:val="0"/>
        <w:spacing w:line="650" w:lineRule="exact"/>
        <w:ind w:left="0" w:firstLine="640" w:firstLineChars="200"/>
        <w:textAlignment w:val="auto"/>
        <w:outlineLvl w:val="0"/>
        <w:rPr>
          <w:rFonts w:ascii="Times New Roman" w:hAnsi="Times New Roman" w:eastAsia="黑体"/>
          <w:bCs/>
          <w:kern w:val="44"/>
          <w:sz w:val="32"/>
          <w:szCs w:val="32"/>
        </w:rPr>
      </w:pPr>
      <w:r>
        <w:rPr>
          <w:rFonts w:ascii="Times New Roman" w:hAnsi="Times New Roman" w:eastAsia="黑体"/>
          <w:bCs/>
          <w:kern w:val="44"/>
          <w:sz w:val="32"/>
          <w:szCs w:val="32"/>
        </w:rPr>
        <w:t>三、工作规则</w:t>
      </w:r>
    </w:p>
    <w:p>
      <w:pPr>
        <w:keepNext w:val="0"/>
        <w:keepLines w:val="0"/>
        <w:pageBreakBefore w:val="0"/>
        <w:widowControl w:val="0"/>
        <w:kinsoku/>
        <w:wordWrap/>
        <w:overflowPunct/>
        <w:topLinePunct w:val="0"/>
        <w:autoSpaceDE/>
        <w:autoSpaceDN/>
        <w:bidi w:val="0"/>
        <w:adjustRightInd w:val="0"/>
        <w:snapToGrid w:val="0"/>
        <w:spacing w:line="650" w:lineRule="exact"/>
        <w:ind w:left="0" w:firstLine="640" w:firstLineChars="200"/>
        <w:textAlignment w:val="auto"/>
        <w:rPr>
          <w:rFonts w:hint="eastAsia" w:ascii="仿宋_GB2312" w:hAnsi="仿宋_GB2312" w:eastAsia="仿宋_GB2312" w:cs="仿宋_GB2312"/>
          <w:color w:val="auto"/>
          <w:spacing w:val="-6"/>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（一）</w:t>
      </w:r>
      <w:r>
        <w:rPr>
          <w:rFonts w:hint="eastAsia" w:ascii="仿宋_GB2312" w:hAnsi="仿宋_GB2312" w:eastAsia="仿宋_GB2312" w:cs="仿宋_GB2312"/>
          <w:color w:val="auto"/>
          <w:spacing w:val="-6"/>
          <w:kern w:val="0"/>
          <w:sz w:val="32"/>
          <w:szCs w:val="32"/>
          <w:lang w:val="en-US" w:eastAsia="zh-CN" w:bidi="ar"/>
        </w:rPr>
        <w:t>协调机制根据工作需要定期或不定期召开会议，由召集人或协调机制办公室召开。成员单位可以提出召开协调会议的建议。研究具体工作事项时，可视情况召集部分成员单位参加会议，也可邀请有关各乡（镇）人民政府、其他单位以及相关专家参加会议。</w:t>
      </w:r>
    </w:p>
    <w:p>
      <w:pPr>
        <w:keepNext w:val="0"/>
        <w:keepLines w:val="0"/>
        <w:pageBreakBefore w:val="0"/>
        <w:widowControl w:val="0"/>
        <w:kinsoku/>
        <w:wordWrap/>
        <w:overflowPunct/>
        <w:topLinePunct w:val="0"/>
        <w:autoSpaceDE/>
        <w:autoSpaceDN/>
        <w:bidi w:val="0"/>
        <w:adjustRightInd w:val="0"/>
        <w:snapToGrid w:val="0"/>
        <w:spacing w:line="650" w:lineRule="exact"/>
        <w:ind w:left="0" w:firstLine="640" w:firstLineChars="200"/>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二）各成员单位要按照“应用尽用、能用尽用”原则，建立政府投资重点项目落实以工代赈政策的预审机制，负责审查本部门审批、编制、上报的政府投资重点工程项目落实以工代赈政策情况，在可行性研究报告或资金申请报告、初步设计报告或施工图设计文件等项目前期要件中，对项目吸纳当地群众务工就业提出以工代赈相关要求。</w:t>
      </w:r>
    </w:p>
    <w:p>
      <w:pPr>
        <w:keepNext w:val="0"/>
        <w:keepLines w:val="0"/>
        <w:pageBreakBefore w:val="0"/>
        <w:widowControl w:val="0"/>
        <w:kinsoku/>
        <w:wordWrap/>
        <w:overflowPunct/>
        <w:topLinePunct w:val="0"/>
        <w:autoSpaceDE/>
        <w:autoSpaceDN/>
        <w:bidi w:val="0"/>
        <w:adjustRightInd w:val="0"/>
        <w:snapToGrid w:val="0"/>
        <w:spacing w:line="650" w:lineRule="exact"/>
        <w:ind w:left="0" w:firstLine="640" w:firstLineChars="200"/>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三）各成员单位要加强沟通协调，密切协作配合，定期将重点工程项目中实施以工代赈工作进展情况报送协调机制办公室。县发改局会同相关部门每年12月底前梳理形成年度专题报告，及时报送县政府和市发改委。</w:t>
      </w:r>
    </w:p>
    <w:p>
      <w:pPr>
        <w:keepNext w:val="0"/>
        <w:keepLines w:val="0"/>
        <w:pageBreakBefore w:val="0"/>
        <w:widowControl w:val="0"/>
        <w:kinsoku/>
        <w:wordWrap/>
        <w:overflowPunct/>
        <w:topLinePunct w:val="0"/>
        <w:autoSpaceDE/>
        <w:autoSpaceDN/>
        <w:bidi w:val="0"/>
        <w:adjustRightInd w:val="0"/>
        <w:snapToGrid w:val="0"/>
        <w:spacing w:line="650" w:lineRule="exact"/>
        <w:ind w:left="0" w:firstLine="640" w:firstLineChars="200"/>
        <w:textAlignment w:val="auto"/>
        <w:outlineLvl w:val="0"/>
        <w:rPr>
          <w:rFonts w:ascii="Times New Roman" w:hAnsi="Times New Roman" w:eastAsia="黑体"/>
          <w:bCs/>
          <w:kern w:val="44"/>
          <w:sz w:val="32"/>
          <w:szCs w:val="32"/>
        </w:rPr>
      </w:pPr>
      <w:r>
        <w:rPr>
          <w:rFonts w:ascii="Times New Roman" w:hAnsi="Times New Roman" w:eastAsia="黑体"/>
          <w:bCs/>
          <w:kern w:val="44"/>
          <w:sz w:val="32"/>
          <w:szCs w:val="32"/>
        </w:rPr>
        <w:t>四、工作要求</w:t>
      </w:r>
    </w:p>
    <w:p>
      <w:pPr>
        <w:keepNext w:val="0"/>
        <w:keepLines w:val="0"/>
        <w:pageBreakBefore w:val="0"/>
        <w:widowControl w:val="0"/>
        <w:kinsoku/>
        <w:wordWrap/>
        <w:overflowPunct/>
        <w:topLinePunct w:val="0"/>
        <w:autoSpaceDE/>
        <w:autoSpaceDN/>
        <w:bidi w:val="0"/>
        <w:adjustRightInd w:val="0"/>
        <w:snapToGrid w:val="0"/>
        <w:spacing w:line="650" w:lineRule="exact"/>
        <w:ind w:left="0" w:firstLine="640" w:firstLineChars="200"/>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县发改局牵头做好协调机制各项工作，负责组织召开协调会议，汇总通报工作进展，重大事项及时报告县政府；负责联系成员单位落实协调机制各项议定事项；负责协调联系相关单位落实协调会议议定事项。</w:t>
      </w:r>
    </w:p>
    <w:p>
      <w:pPr>
        <w:keepNext w:val="0"/>
        <w:keepLines w:val="0"/>
        <w:pageBreakBefore w:val="0"/>
        <w:widowControl w:val="0"/>
        <w:kinsoku/>
        <w:wordWrap/>
        <w:overflowPunct/>
        <w:topLinePunct w:val="0"/>
        <w:autoSpaceDE/>
        <w:autoSpaceDN/>
        <w:bidi w:val="0"/>
        <w:adjustRightInd w:val="0"/>
        <w:snapToGrid w:val="0"/>
        <w:spacing w:line="650" w:lineRule="exact"/>
        <w:ind w:left="0" w:firstLine="640" w:firstLineChars="200"/>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各成员单位按照职责分工，负责落实本领域重点工程项目实施以工代赈工作，互通信息、密切配合，做好年度任务安排、项目清单编制等工作，督促指导相关各乡（镇）人民政府以及项目建设相关单位在本领域重点工程项目中大力实施以工代赈。</w:t>
      </w:r>
    </w:p>
    <w:p>
      <w:pPr>
        <w:pStyle w:val="3"/>
        <w:rPr>
          <w:rFonts w:hint="default"/>
          <w:lang w:val="en" w:eastAsia="zh-CN"/>
        </w:rPr>
      </w:pPr>
    </w:p>
    <w:p>
      <w:pPr>
        <w:keepNext w:val="0"/>
        <w:keepLines w:val="0"/>
        <w:pageBreakBefore w:val="0"/>
        <w:widowControl w:val="0"/>
        <w:kinsoku/>
        <w:wordWrap/>
        <w:overflowPunct/>
        <w:topLinePunct w:val="0"/>
        <w:autoSpaceDE/>
        <w:autoSpaceDN/>
        <w:bidi w:val="0"/>
        <w:spacing w:line="650" w:lineRule="exact"/>
        <w:jc w:val="left"/>
        <w:textAlignment w:val="auto"/>
        <w:outlineLvl w:val="0"/>
        <w:rPr>
          <w:rFonts w:hint="default" w:ascii="CESI黑体-GB2312" w:hAnsi="CESI黑体-GB2312" w:eastAsia="CESI黑体-GB2312" w:cs="CESI黑体-GB2312"/>
          <w:b w:val="0"/>
          <w:bCs/>
          <w:sz w:val="32"/>
          <w:szCs w:val="32"/>
          <w:lang w:val="en" w:eastAsia="zh-CN"/>
        </w:rPr>
      </w:pPr>
    </w:p>
    <w:p>
      <w:pPr>
        <w:keepNext w:val="0"/>
        <w:keepLines w:val="0"/>
        <w:pageBreakBefore w:val="0"/>
        <w:widowControl w:val="0"/>
        <w:kinsoku/>
        <w:wordWrap/>
        <w:overflowPunct/>
        <w:topLinePunct w:val="0"/>
        <w:autoSpaceDE/>
        <w:autoSpaceDN/>
        <w:bidi w:val="0"/>
        <w:spacing w:line="650" w:lineRule="exact"/>
        <w:jc w:val="left"/>
        <w:textAlignment w:val="auto"/>
        <w:outlineLvl w:val="0"/>
        <w:rPr>
          <w:rFonts w:hint="default" w:ascii="CESI黑体-GB2312" w:hAnsi="CESI黑体-GB2312" w:eastAsia="CESI黑体-GB2312" w:cs="CESI黑体-GB2312"/>
          <w:b w:val="0"/>
          <w:bCs/>
          <w:sz w:val="32"/>
          <w:szCs w:val="32"/>
          <w:lang w:val="en" w:eastAsia="zh-CN"/>
        </w:rPr>
      </w:pPr>
    </w:p>
    <w:p>
      <w:pPr>
        <w:keepNext w:val="0"/>
        <w:keepLines w:val="0"/>
        <w:pageBreakBefore w:val="0"/>
        <w:widowControl w:val="0"/>
        <w:kinsoku/>
        <w:wordWrap/>
        <w:overflowPunct/>
        <w:topLinePunct w:val="0"/>
        <w:autoSpaceDE/>
        <w:autoSpaceDN/>
        <w:bidi w:val="0"/>
        <w:spacing w:line="650" w:lineRule="exact"/>
        <w:jc w:val="left"/>
        <w:textAlignment w:val="auto"/>
        <w:outlineLvl w:val="0"/>
        <w:rPr>
          <w:rFonts w:hint="default"/>
          <w:sz w:val="32"/>
          <w:szCs w:val="32"/>
          <w:lang w:val="en" w:eastAsia="zh-CN"/>
        </w:rPr>
      </w:pPr>
      <w:r>
        <w:rPr>
          <w:rFonts w:hint="default" w:ascii="CESI黑体-GB2312" w:hAnsi="CESI黑体-GB2312" w:eastAsia="CESI黑体-GB2312" w:cs="CESI黑体-GB2312"/>
          <w:b w:val="0"/>
          <w:bCs/>
          <w:sz w:val="32"/>
          <w:szCs w:val="32"/>
          <w:lang w:val="en" w:eastAsia="zh-CN"/>
        </w:rPr>
        <w:t>附件</w:t>
      </w:r>
      <w:r>
        <w:rPr>
          <w:rFonts w:hint="eastAsia" w:ascii="CESI黑体-GB2312" w:hAnsi="CESI黑体-GB2312" w:eastAsia="CESI黑体-GB2312" w:cs="CESI黑体-GB2312"/>
          <w:b w:val="0"/>
          <w:bCs/>
          <w:sz w:val="32"/>
          <w:szCs w:val="32"/>
          <w:lang w:val="en-US" w:eastAsia="zh-CN"/>
        </w:rPr>
        <w:t>2</w:t>
      </w:r>
    </w:p>
    <w:p>
      <w:pPr>
        <w:keepNext w:val="0"/>
        <w:keepLines w:val="0"/>
        <w:pageBreakBefore w:val="0"/>
        <w:widowControl w:val="0"/>
        <w:kinsoku/>
        <w:wordWrap/>
        <w:overflowPunct/>
        <w:topLinePunct w:val="0"/>
        <w:autoSpaceDE/>
        <w:autoSpaceDN/>
        <w:bidi w:val="0"/>
        <w:adjustRightInd w:val="0"/>
        <w:snapToGrid w:val="0"/>
        <w:spacing w:line="500" w:lineRule="exact"/>
        <w:ind w:left="0"/>
        <w:jc w:val="center"/>
        <w:textAlignment w:val="auto"/>
        <w:outlineLvl w:val="0"/>
        <w:rPr>
          <w:rFonts w:hint="eastAsia" w:ascii="方正小标宋简体" w:hAnsi="方正小标宋简体" w:eastAsia="方正小标宋简体" w:cs="方正小标宋简体"/>
          <w:b w:val="0"/>
          <w:bCs/>
          <w:spacing w:val="0"/>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00" w:lineRule="exact"/>
        <w:ind w:left="0"/>
        <w:jc w:val="center"/>
        <w:textAlignment w:val="auto"/>
        <w:outlineLvl w:val="0"/>
        <w:rPr>
          <w:rFonts w:hint="eastAsia" w:ascii="方正小标宋简体" w:hAnsi="方正小标宋简体" w:eastAsia="方正小标宋简体" w:cs="方正小标宋简体"/>
          <w:b w:val="0"/>
          <w:bCs/>
          <w:spacing w:val="0"/>
          <w:sz w:val="40"/>
          <w:szCs w:val="40"/>
          <w:lang w:val="en-US" w:eastAsia="zh-CN"/>
        </w:rPr>
      </w:pPr>
      <w:r>
        <w:rPr>
          <w:rFonts w:hint="eastAsia" w:ascii="方正小标宋简体" w:hAnsi="方正小标宋简体" w:eastAsia="方正小标宋简体" w:cs="方正小标宋简体"/>
          <w:b w:val="0"/>
          <w:bCs/>
          <w:spacing w:val="0"/>
          <w:sz w:val="40"/>
          <w:szCs w:val="40"/>
          <w:lang w:val="en-US" w:eastAsia="zh-CN"/>
        </w:rPr>
        <w:t>全县重点工程项目中能够实施以工代赈的</w:t>
      </w:r>
    </w:p>
    <w:p>
      <w:pPr>
        <w:keepNext w:val="0"/>
        <w:keepLines w:val="0"/>
        <w:pageBreakBefore w:val="0"/>
        <w:widowControl w:val="0"/>
        <w:kinsoku/>
        <w:wordWrap/>
        <w:overflowPunct/>
        <w:topLinePunct w:val="0"/>
        <w:autoSpaceDE/>
        <w:autoSpaceDN/>
        <w:bidi w:val="0"/>
        <w:adjustRightInd w:val="0"/>
        <w:snapToGrid w:val="0"/>
        <w:spacing w:line="500" w:lineRule="exact"/>
        <w:ind w:left="0"/>
        <w:jc w:val="center"/>
        <w:textAlignment w:val="auto"/>
        <w:outlineLvl w:val="0"/>
        <w:rPr>
          <w:rFonts w:hint="eastAsia" w:ascii="方正小标宋简体" w:hAnsi="方正小标宋简体" w:eastAsia="方正小标宋简体" w:cs="方正小标宋简体"/>
          <w:b w:val="0"/>
          <w:bCs/>
          <w:spacing w:val="0"/>
          <w:sz w:val="44"/>
          <w:szCs w:val="44"/>
          <w:lang w:val="en-US" w:eastAsia="zh-CN"/>
        </w:rPr>
      </w:pPr>
      <w:r>
        <w:rPr>
          <w:rFonts w:hint="eastAsia" w:ascii="方正小标宋简体" w:hAnsi="方正小标宋简体" w:eastAsia="方正小标宋简体" w:cs="方正小标宋简体"/>
          <w:b w:val="0"/>
          <w:bCs/>
          <w:spacing w:val="0"/>
          <w:sz w:val="40"/>
          <w:szCs w:val="40"/>
          <w:lang w:val="en-US" w:eastAsia="zh-CN"/>
        </w:rPr>
        <w:t>建设任务和用工环节指导目录</w:t>
      </w:r>
    </w:p>
    <w:tbl>
      <w:tblPr>
        <w:tblStyle w:val="9"/>
        <w:tblpPr w:leftFromText="180" w:rightFromText="180" w:vertAnchor="text" w:horzAnchor="page" w:tblpX="1622" w:tblpY="999"/>
        <w:tblOverlap w:val="never"/>
        <w:tblW w:w="852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63"/>
        <w:gridCol w:w="843"/>
        <w:gridCol w:w="4"/>
        <w:gridCol w:w="902"/>
        <w:gridCol w:w="4"/>
        <w:gridCol w:w="5039"/>
        <w:gridCol w:w="4"/>
        <w:gridCol w:w="1163"/>
        <w:gridCol w:w="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 w:type="dxa"/>
          <w:trHeight w:val="90" w:hRule="atLeast"/>
        </w:trPr>
        <w:tc>
          <w:tcPr>
            <w:tcW w:w="8522" w:type="dxa"/>
            <w:gridSpan w:val="8"/>
            <w:tcBorders>
              <w:top w:val="nil"/>
              <w:left w:val="nil"/>
              <w:bottom w:val="single" w:color="000000" w:sz="4" w:space="0"/>
              <w:right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650" w:lineRule="exact"/>
              <w:jc w:val="center"/>
              <w:textAlignment w:val="auto"/>
              <w:outlineLvl w:val="0"/>
              <w:rPr>
                <w:rFonts w:ascii="Times New Roman" w:hAnsi="Times New Roman" w:eastAsia="黑体" w:cs="Times New Roman"/>
                <w:bCs/>
                <w:kern w:val="44"/>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 w:type="dxa"/>
          <w:trHeight w:val="531" w:hRule="atLeast"/>
        </w:trPr>
        <w:tc>
          <w:tcPr>
            <w:tcW w:w="5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ascii="方正黑体_GBK" w:hAnsi="方正黑体_GBK" w:eastAsia="方正黑体_GBK" w:cs="方正黑体_GBK"/>
                <w:b/>
                <w:i w:val="0"/>
                <w:color w:val="000000"/>
                <w:sz w:val="21"/>
                <w:szCs w:val="21"/>
                <w:u w:val="none"/>
              </w:rPr>
            </w:pPr>
            <w:r>
              <w:rPr>
                <w:rFonts w:hint="eastAsia" w:ascii="Times New Roman" w:hAnsi="Times New Roman" w:eastAsia="黑体" w:cs="Times New Roman"/>
                <w:bCs/>
                <w:kern w:val="44"/>
                <w:sz w:val="21"/>
                <w:szCs w:val="21"/>
                <w:lang w:val="en-US" w:eastAsia="zh-CN"/>
              </w:rPr>
              <w:t>序号</w:t>
            </w:r>
          </w:p>
        </w:tc>
        <w:tc>
          <w:tcPr>
            <w:tcW w:w="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Times New Roman" w:hAnsi="Times New Roman" w:eastAsia="黑体" w:cs="Times New Roman"/>
                <w:bCs/>
                <w:kern w:val="44"/>
                <w:sz w:val="21"/>
                <w:szCs w:val="21"/>
                <w:lang w:val="en-US" w:eastAsia="zh-CN"/>
              </w:rPr>
            </w:pPr>
            <w:r>
              <w:rPr>
                <w:rFonts w:hint="eastAsia" w:ascii="Times New Roman" w:hAnsi="Times New Roman" w:eastAsia="黑体" w:cs="Times New Roman"/>
                <w:bCs/>
                <w:kern w:val="44"/>
                <w:sz w:val="21"/>
                <w:szCs w:val="21"/>
                <w:lang w:val="en-US" w:eastAsia="zh-CN"/>
              </w:rPr>
              <w:t>建设领域</w:t>
            </w:r>
          </w:p>
        </w:tc>
        <w:tc>
          <w:tcPr>
            <w:tcW w:w="90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Times New Roman" w:hAnsi="Times New Roman" w:eastAsia="黑体" w:cs="Times New Roman"/>
                <w:bCs/>
                <w:kern w:val="44"/>
                <w:sz w:val="21"/>
                <w:szCs w:val="21"/>
                <w:lang w:val="en-US" w:eastAsia="zh-CN"/>
              </w:rPr>
            </w:pPr>
            <w:r>
              <w:rPr>
                <w:rFonts w:hint="eastAsia" w:ascii="Times New Roman" w:hAnsi="Times New Roman" w:eastAsia="黑体" w:cs="Times New Roman"/>
                <w:bCs/>
                <w:kern w:val="44"/>
                <w:sz w:val="21"/>
                <w:szCs w:val="21"/>
                <w:lang w:val="en-US" w:eastAsia="zh-CN"/>
              </w:rPr>
              <w:t>具体类别</w:t>
            </w:r>
          </w:p>
        </w:tc>
        <w:tc>
          <w:tcPr>
            <w:tcW w:w="504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Times New Roman" w:hAnsi="Times New Roman" w:eastAsia="黑体" w:cs="Times New Roman"/>
                <w:bCs/>
                <w:kern w:val="44"/>
                <w:sz w:val="21"/>
                <w:szCs w:val="21"/>
                <w:lang w:val="en-US" w:eastAsia="zh-CN"/>
              </w:rPr>
            </w:pPr>
            <w:r>
              <w:rPr>
                <w:rFonts w:hint="eastAsia" w:ascii="Times New Roman" w:hAnsi="Times New Roman" w:eastAsia="黑体" w:cs="Times New Roman"/>
                <w:bCs/>
                <w:kern w:val="44"/>
                <w:sz w:val="21"/>
                <w:szCs w:val="21"/>
                <w:lang w:val="en-US" w:eastAsia="zh-CN"/>
              </w:rPr>
              <w:t>建设任务和用工环节</w:t>
            </w:r>
          </w:p>
        </w:tc>
        <w:tc>
          <w:tcPr>
            <w:tcW w:w="116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Times New Roman" w:hAnsi="Times New Roman" w:eastAsia="黑体" w:cs="Times New Roman"/>
                <w:bCs/>
                <w:kern w:val="44"/>
                <w:sz w:val="21"/>
                <w:szCs w:val="21"/>
                <w:lang w:val="en-US" w:eastAsia="zh-CN"/>
              </w:rPr>
            </w:pPr>
            <w:r>
              <w:rPr>
                <w:rFonts w:hint="eastAsia" w:ascii="Times New Roman" w:hAnsi="Times New Roman" w:eastAsia="黑体" w:cs="Times New Roman"/>
                <w:bCs/>
                <w:kern w:val="44"/>
                <w:sz w:val="21"/>
                <w:szCs w:val="21"/>
                <w:lang w:val="en-US" w:eastAsia="zh-CN"/>
              </w:rPr>
              <w:t>行业指导部门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 w:type="dxa"/>
          <w:trHeight w:val="1336" w:hRule="atLeast"/>
        </w:trPr>
        <w:tc>
          <w:tcPr>
            <w:tcW w:w="5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w:t>
            </w:r>
          </w:p>
        </w:tc>
        <w:tc>
          <w:tcPr>
            <w:tcW w:w="84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交通</w:t>
            </w:r>
          </w:p>
        </w:tc>
        <w:tc>
          <w:tcPr>
            <w:tcW w:w="90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公路建设</w:t>
            </w:r>
          </w:p>
        </w:tc>
        <w:tc>
          <w:tcPr>
            <w:tcW w:w="504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专业技术要求不高的临时工程和零星工程的清表、基础处理、土方开挖；小型预制构件制作，混凝土预制块护坡施工；路基边坡开挖、土石方填筑等辅助施工；中小型构筑物的基础土方回填、小型沟槽土方回填；绿化工程施工；施工道路养护、施工生活区服务等各类辅助施工等。</w:t>
            </w:r>
          </w:p>
        </w:tc>
        <w:tc>
          <w:tcPr>
            <w:tcW w:w="1167" w:type="dxa"/>
            <w:gridSpan w:val="2"/>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县交通局</w:t>
            </w:r>
          </w:p>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 w:type="dxa"/>
          <w:trHeight w:val="1361" w:hRule="atLeast"/>
        </w:trPr>
        <w:tc>
          <w:tcPr>
            <w:tcW w:w="5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w:t>
            </w:r>
          </w:p>
        </w:tc>
        <w:tc>
          <w:tcPr>
            <w:tcW w:w="84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color w:val="000000"/>
                <w:sz w:val="18"/>
                <w:szCs w:val="18"/>
                <w:u w:val="none"/>
              </w:rPr>
            </w:pPr>
          </w:p>
        </w:tc>
        <w:tc>
          <w:tcPr>
            <w:tcW w:w="90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公路客运站</w:t>
            </w:r>
          </w:p>
        </w:tc>
        <w:tc>
          <w:tcPr>
            <w:tcW w:w="504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专业技术要求不高的临时工程和零星工程的基础处理、土方开挖；小型混凝土结构的钢筋制作和绑扎，混凝土浇筑振捣施工；小型预制构件制作；绿化工程施工；废弃物料搬运、施工现场整理、施工生活区服务以及房建工程墙体衬砌、抹灰、门窗安装等工序的辅助施工等。</w:t>
            </w:r>
          </w:p>
        </w:tc>
        <w:tc>
          <w:tcPr>
            <w:tcW w:w="1167" w:type="dxa"/>
            <w:gridSpan w:val="2"/>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 w:type="dxa"/>
          <w:trHeight w:val="1020" w:hRule="atLeast"/>
        </w:trPr>
        <w:tc>
          <w:tcPr>
            <w:tcW w:w="5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仿宋_GB2312" w:hAnsi="仿宋_GB2312" w:eastAsia="仿宋_GB2312" w:cs="仿宋_GB2312"/>
                <w:i w:val="0"/>
                <w:color w:val="000000"/>
                <w:sz w:val="18"/>
                <w:szCs w:val="18"/>
                <w:u w:val="none"/>
                <w:lang w:val="en-US"/>
              </w:rPr>
            </w:pPr>
            <w:r>
              <w:rPr>
                <w:rFonts w:hint="eastAsia" w:ascii="仿宋_GB2312" w:hAnsi="仿宋_GB2312" w:eastAsia="仿宋_GB2312" w:cs="仿宋_GB2312"/>
                <w:i w:val="0"/>
                <w:color w:val="000000"/>
                <w:kern w:val="0"/>
                <w:sz w:val="18"/>
                <w:szCs w:val="18"/>
                <w:u w:val="none"/>
                <w:lang w:val="en-US" w:eastAsia="zh-CN" w:bidi="ar"/>
              </w:rPr>
              <w:t>3</w:t>
            </w:r>
          </w:p>
        </w:tc>
        <w:tc>
          <w:tcPr>
            <w:tcW w:w="84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color w:val="000000"/>
                <w:sz w:val="18"/>
                <w:szCs w:val="18"/>
                <w:u w:val="none"/>
              </w:rPr>
            </w:pPr>
          </w:p>
        </w:tc>
        <w:tc>
          <w:tcPr>
            <w:tcW w:w="90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机场建设</w:t>
            </w:r>
          </w:p>
        </w:tc>
        <w:tc>
          <w:tcPr>
            <w:tcW w:w="504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临时工程和零星工程的土石方作业；小型沟槽的土方回填；施工便道养护、施工生活区服务等各类辅助施工；临时工程施工的物料搬运、施工场地维护等简易工作。</w:t>
            </w:r>
          </w:p>
        </w:tc>
        <w:tc>
          <w:tcPr>
            <w:tcW w:w="116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18"/>
                <w:szCs w:val="18"/>
                <w:u w:val="none"/>
                <w:lang w:eastAsia="zh-CN"/>
              </w:rPr>
            </w:pPr>
            <w:r>
              <w:rPr>
                <w:rFonts w:hint="eastAsia" w:ascii="仿宋_GB2312" w:hAnsi="仿宋_GB2312" w:eastAsia="仿宋_GB2312" w:cs="仿宋_GB2312"/>
                <w:i w:val="0"/>
                <w:color w:val="000000"/>
                <w:sz w:val="18"/>
                <w:szCs w:val="18"/>
                <w:u w:val="none"/>
                <w:lang w:eastAsia="zh-CN"/>
              </w:rPr>
              <w:t>县通用机场服务中心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7" w:hRule="atLeast"/>
        </w:trPr>
        <w:tc>
          <w:tcPr>
            <w:tcW w:w="5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w:t>
            </w:r>
          </w:p>
        </w:tc>
        <w:tc>
          <w:tcPr>
            <w:tcW w:w="847" w:type="dxa"/>
            <w:gridSpan w:val="2"/>
            <w:vMerge w:val="restart"/>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水利</w:t>
            </w:r>
          </w:p>
        </w:tc>
        <w:tc>
          <w:tcPr>
            <w:tcW w:w="90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水库（枢纽）建设工程</w:t>
            </w:r>
          </w:p>
        </w:tc>
        <w:tc>
          <w:tcPr>
            <w:tcW w:w="5043"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专业技术不高的临时工程或零星工程的土石方清表、开挖、回填、转运，砌石砌筑，小体积混凝土振捣与养护，钢筋绑扎，岸坡整修，土工布、土工膜铺设；人工清淤和疏浚，库区漂浮物打捞清理，环境整治、场地绿化，水保种植、坡耕地治理中整修地埂等需要人工实施的零星工程；施工临时道路整修养护，施工场地安保巡查，施工生产区服务等辅助工作。</w:t>
            </w:r>
          </w:p>
        </w:tc>
        <w:tc>
          <w:tcPr>
            <w:tcW w:w="1167"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7" w:hRule="atLeast"/>
        </w:trPr>
        <w:tc>
          <w:tcPr>
            <w:tcW w:w="5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18"/>
                <w:szCs w:val="18"/>
                <w:u w:val="none"/>
                <w:lang w:val="en-US" w:eastAsia="zh-CN"/>
              </w:rPr>
            </w:pPr>
            <w:r>
              <w:rPr>
                <w:rFonts w:hint="eastAsia" w:ascii="仿宋_GB2312" w:hAnsi="仿宋_GB2312" w:eastAsia="仿宋_GB2312" w:cs="仿宋_GB2312"/>
                <w:i w:val="0"/>
                <w:color w:val="000000"/>
                <w:sz w:val="18"/>
                <w:szCs w:val="18"/>
                <w:u w:val="none"/>
                <w:lang w:val="en-US" w:eastAsia="zh-CN"/>
              </w:rPr>
              <w:t>5</w:t>
            </w:r>
          </w:p>
        </w:tc>
        <w:tc>
          <w:tcPr>
            <w:tcW w:w="847" w:type="dxa"/>
            <w:gridSpan w:val="2"/>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color w:val="000000"/>
                <w:sz w:val="18"/>
                <w:szCs w:val="18"/>
                <w:u w:val="none"/>
              </w:rPr>
            </w:pPr>
          </w:p>
        </w:tc>
        <w:tc>
          <w:tcPr>
            <w:tcW w:w="90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河流（湖泊）防洪治理工程</w:t>
            </w:r>
          </w:p>
        </w:tc>
        <w:tc>
          <w:tcPr>
            <w:tcW w:w="5043"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both"/>
              <w:rPr>
                <w:rFonts w:hint="eastAsia" w:ascii="仿宋_GB2312" w:hAnsi="仿宋_GB2312" w:eastAsia="仿宋_GB2312" w:cs="仿宋_GB2312"/>
                <w:i w:val="0"/>
                <w:color w:val="000000"/>
                <w:sz w:val="18"/>
                <w:szCs w:val="18"/>
                <w:u w:val="none"/>
              </w:rPr>
            </w:pPr>
          </w:p>
        </w:tc>
        <w:tc>
          <w:tcPr>
            <w:tcW w:w="116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7" w:hRule="atLeast"/>
        </w:trPr>
        <w:tc>
          <w:tcPr>
            <w:tcW w:w="5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6</w:t>
            </w:r>
          </w:p>
        </w:tc>
        <w:tc>
          <w:tcPr>
            <w:tcW w:w="847" w:type="dxa"/>
            <w:gridSpan w:val="2"/>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color w:val="000000"/>
                <w:sz w:val="18"/>
                <w:szCs w:val="18"/>
                <w:u w:val="none"/>
              </w:rPr>
            </w:pPr>
          </w:p>
        </w:tc>
        <w:tc>
          <w:tcPr>
            <w:tcW w:w="90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灌区建设与改造工程</w:t>
            </w:r>
          </w:p>
        </w:tc>
        <w:tc>
          <w:tcPr>
            <w:tcW w:w="5043"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both"/>
              <w:rPr>
                <w:rFonts w:hint="eastAsia" w:ascii="仿宋_GB2312" w:hAnsi="仿宋_GB2312" w:eastAsia="仿宋_GB2312" w:cs="仿宋_GB2312"/>
                <w:i w:val="0"/>
                <w:color w:val="000000"/>
                <w:sz w:val="18"/>
                <w:szCs w:val="18"/>
                <w:u w:val="none"/>
              </w:rPr>
            </w:pPr>
          </w:p>
        </w:tc>
        <w:tc>
          <w:tcPr>
            <w:tcW w:w="116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7" w:hRule="atLeast"/>
        </w:trPr>
        <w:tc>
          <w:tcPr>
            <w:tcW w:w="5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7</w:t>
            </w:r>
          </w:p>
        </w:tc>
        <w:tc>
          <w:tcPr>
            <w:tcW w:w="847" w:type="dxa"/>
            <w:gridSpan w:val="2"/>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color w:val="000000"/>
                <w:sz w:val="18"/>
                <w:szCs w:val="18"/>
                <w:u w:val="none"/>
              </w:rPr>
            </w:pPr>
          </w:p>
        </w:tc>
        <w:tc>
          <w:tcPr>
            <w:tcW w:w="90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水土保持、水生态建设项目</w:t>
            </w:r>
          </w:p>
        </w:tc>
        <w:tc>
          <w:tcPr>
            <w:tcW w:w="5043"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both"/>
              <w:rPr>
                <w:rFonts w:hint="eastAsia" w:ascii="仿宋_GB2312" w:hAnsi="仿宋_GB2312" w:eastAsia="仿宋_GB2312" w:cs="仿宋_GB2312"/>
                <w:i w:val="0"/>
                <w:color w:val="000000"/>
                <w:sz w:val="18"/>
                <w:szCs w:val="18"/>
                <w:u w:val="none"/>
              </w:rPr>
            </w:pPr>
          </w:p>
        </w:tc>
        <w:tc>
          <w:tcPr>
            <w:tcW w:w="116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 w:type="dxa"/>
          <w:trHeight w:val="1008" w:hRule="atLeast"/>
        </w:trPr>
        <w:tc>
          <w:tcPr>
            <w:tcW w:w="563"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8</w:t>
            </w:r>
          </w:p>
        </w:tc>
        <w:tc>
          <w:tcPr>
            <w:tcW w:w="843" w:type="dxa"/>
            <w:vMerge w:val="restart"/>
            <w:tcBorders>
              <w:top w:val="single" w:color="auto" w:sz="4" w:space="0"/>
              <w:left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能源</w:t>
            </w:r>
          </w:p>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18"/>
                <w:szCs w:val="18"/>
                <w:u w:val="none"/>
              </w:rPr>
            </w:pPr>
          </w:p>
        </w:tc>
        <w:tc>
          <w:tcPr>
            <w:tcW w:w="906" w:type="dxa"/>
            <w:gridSpan w:val="2"/>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电力</w:t>
            </w:r>
          </w:p>
        </w:tc>
        <w:tc>
          <w:tcPr>
            <w:tcW w:w="504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在变电工程施工场地表面清理、临时用地恢复、站外排水沟渠施工建设；线路工程施工便道修建、塔位范围地表清理及平整、铁塔材料和机械机具运输等环节实施以工代赈，促进当地群众就业增收。</w:t>
            </w:r>
          </w:p>
        </w:tc>
        <w:tc>
          <w:tcPr>
            <w:tcW w:w="1167" w:type="dxa"/>
            <w:gridSpan w:val="2"/>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县能源局</w:t>
            </w:r>
          </w:p>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 w:type="dxa"/>
          <w:trHeight w:val="1301" w:hRule="atLeast"/>
        </w:trPr>
        <w:tc>
          <w:tcPr>
            <w:tcW w:w="563"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9</w:t>
            </w:r>
          </w:p>
        </w:tc>
        <w:tc>
          <w:tcPr>
            <w:tcW w:w="843" w:type="dxa"/>
            <w:vMerge w:val="continue"/>
            <w:tcBorders>
              <w:left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18"/>
                <w:szCs w:val="18"/>
                <w:u w:val="none"/>
              </w:rPr>
            </w:pPr>
          </w:p>
        </w:tc>
        <w:tc>
          <w:tcPr>
            <w:tcW w:w="906" w:type="dxa"/>
            <w:gridSpan w:val="2"/>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油气管道</w:t>
            </w:r>
          </w:p>
        </w:tc>
        <w:tc>
          <w:tcPr>
            <w:tcW w:w="504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线路工程的管道开挖、土方作业、水工保护等基础性工程。站场工程的总图土方平衡、地基处理、道路混凝土、装饰装修等土建工程施工和其他专业工程的辅助用工。油气管道建成投产后的管道线路巡护、站场（阀室）看护；输油气管道站场生活区后勤服务等。</w:t>
            </w:r>
          </w:p>
        </w:tc>
        <w:tc>
          <w:tcPr>
            <w:tcW w:w="1167" w:type="dxa"/>
            <w:gridSpan w:val="2"/>
            <w:vMerge w:val="continue"/>
            <w:tcBorders>
              <w:left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 w:type="dxa"/>
          <w:trHeight w:val="960" w:hRule="atLeast"/>
        </w:trPr>
        <w:tc>
          <w:tcPr>
            <w:tcW w:w="563"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10</w:t>
            </w:r>
          </w:p>
        </w:tc>
        <w:tc>
          <w:tcPr>
            <w:tcW w:w="843"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color w:val="000000"/>
                <w:sz w:val="18"/>
                <w:szCs w:val="18"/>
                <w:u w:val="none"/>
              </w:rPr>
            </w:pPr>
          </w:p>
        </w:tc>
        <w:tc>
          <w:tcPr>
            <w:tcW w:w="906" w:type="dxa"/>
            <w:gridSpan w:val="2"/>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可再生能源</w:t>
            </w:r>
          </w:p>
        </w:tc>
        <w:tc>
          <w:tcPr>
            <w:tcW w:w="504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水电工程中临时工程和零星工程的土方开挖，土石方填筑，干砌石填筑等；小型结构混凝土浇筑、振捣施工等；施工道路养护；建设营地物业管理等后勤服务，施工现场安保等。</w:t>
            </w:r>
          </w:p>
        </w:tc>
        <w:tc>
          <w:tcPr>
            <w:tcW w:w="1167" w:type="dxa"/>
            <w:gridSpan w:val="2"/>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 w:type="dxa"/>
          <w:trHeight w:val="1122" w:hRule="atLeast"/>
        </w:trPr>
        <w:tc>
          <w:tcPr>
            <w:tcW w:w="5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11</w:t>
            </w:r>
          </w:p>
        </w:tc>
        <w:tc>
          <w:tcPr>
            <w:tcW w:w="843" w:type="dxa"/>
            <w:vMerge w:val="restart"/>
            <w:tcBorders>
              <w:top w:val="nil"/>
              <w:left w:val="single" w:color="000000" w:sz="4" w:space="0"/>
              <w:bottom w:val="nil"/>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农业农村</w:t>
            </w:r>
          </w:p>
        </w:tc>
        <w:tc>
          <w:tcPr>
            <w:tcW w:w="90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高标准农田建设项目</w:t>
            </w:r>
          </w:p>
        </w:tc>
        <w:tc>
          <w:tcPr>
            <w:tcW w:w="504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人工土石方开挖、运输、填筑，人工开挖管道沟渠，人工平整土地，人工增施土壤调理剂；沟渠清淤等部分农田基础设施的管护。实施过程中由项目建设单位结合实际确定可用工环节。</w:t>
            </w:r>
          </w:p>
        </w:tc>
        <w:tc>
          <w:tcPr>
            <w:tcW w:w="1167" w:type="dxa"/>
            <w:gridSpan w:val="2"/>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 w:type="dxa"/>
          <w:trHeight w:val="1049" w:hRule="atLeast"/>
        </w:trPr>
        <w:tc>
          <w:tcPr>
            <w:tcW w:w="5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12</w:t>
            </w:r>
          </w:p>
        </w:tc>
        <w:tc>
          <w:tcPr>
            <w:tcW w:w="843" w:type="dxa"/>
            <w:vMerge w:val="continue"/>
            <w:tcBorders>
              <w:top w:val="nil"/>
              <w:left w:val="single" w:color="000000" w:sz="4" w:space="0"/>
              <w:bottom w:val="nil"/>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color w:val="000000"/>
                <w:sz w:val="18"/>
                <w:szCs w:val="18"/>
                <w:u w:val="none"/>
              </w:rPr>
            </w:pPr>
          </w:p>
        </w:tc>
        <w:tc>
          <w:tcPr>
            <w:tcW w:w="90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现代农业产业园</w:t>
            </w:r>
          </w:p>
        </w:tc>
        <w:tc>
          <w:tcPr>
            <w:tcW w:w="504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种植养殖基地建设中的土地平整、田间道路、灌溉沟渠等。</w:t>
            </w:r>
          </w:p>
        </w:tc>
        <w:tc>
          <w:tcPr>
            <w:tcW w:w="1167" w:type="dxa"/>
            <w:gridSpan w:val="2"/>
            <w:vMerge w:val="continue"/>
            <w:tcBorders>
              <w:left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 w:type="dxa"/>
          <w:trHeight w:val="1140" w:hRule="atLeast"/>
        </w:trPr>
        <w:tc>
          <w:tcPr>
            <w:tcW w:w="5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w:t>
            </w:r>
          </w:p>
        </w:tc>
        <w:tc>
          <w:tcPr>
            <w:tcW w:w="843" w:type="dxa"/>
            <w:vMerge w:val="continue"/>
            <w:tcBorders>
              <w:top w:val="nil"/>
              <w:left w:val="single" w:color="000000" w:sz="4" w:space="0"/>
              <w:bottom w:val="nil"/>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color w:val="000000"/>
                <w:sz w:val="18"/>
                <w:szCs w:val="18"/>
                <w:u w:val="none"/>
              </w:rPr>
            </w:pPr>
          </w:p>
        </w:tc>
        <w:tc>
          <w:tcPr>
            <w:tcW w:w="90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农村人居环境整治提升工程</w:t>
            </w:r>
          </w:p>
        </w:tc>
        <w:tc>
          <w:tcPr>
            <w:tcW w:w="504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农村有机废弃物综合处置利用设施和农村生活污水处理设施建设、运行和管护等，实施过程中由项目建设单位结合实际确定可用工环节。</w:t>
            </w:r>
          </w:p>
        </w:tc>
        <w:tc>
          <w:tcPr>
            <w:tcW w:w="1167" w:type="dxa"/>
            <w:gridSpan w:val="2"/>
            <w:vMerge w:val="continue"/>
            <w:tcBorders>
              <w:left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 w:type="dxa"/>
          <w:trHeight w:val="1208" w:hRule="atLeast"/>
        </w:trPr>
        <w:tc>
          <w:tcPr>
            <w:tcW w:w="5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14</w:t>
            </w:r>
          </w:p>
        </w:tc>
        <w:tc>
          <w:tcPr>
            <w:tcW w:w="843" w:type="dxa"/>
            <w:vMerge w:val="continue"/>
            <w:tcBorders>
              <w:top w:val="nil"/>
              <w:left w:val="single" w:color="000000" w:sz="4" w:space="0"/>
              <w:bottom w:val="nil"/>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color w:val="000000"/>
                <w:sz w:val="18"/>
                <w:szCs w:val="18"/>
                <w:u w:val="none"/>
              </w:rPr>
            </w:pPr>
          </w:p>
        </w:tc>
        <w:tc>
          <w:tcPr>
            <w:tcW w:w="90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黄河流域农业面源污染治理项目</w:t>
            </w:r>
          </w:p>
        </w:tc>
        <w:tc>
          <w:tcPr>
            <w:tcW w:w="504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农业面源污染综合治理配套工程建设、运行和管护等，实施过程中由项目建设单位结合实际确定可用工环节。</w:t>
            </w:r>
          </w:p>
        </w:tc>
        <w:tc>
          <w:tcPr>
            <w:tcW w:w="1167" w:type="dxa"/>
            <w:gridSpan w:val="2"/>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 w:type="dxa"/>
          <w:trHeight w:val="2304" w:hRule="atLeast"/>
        </w:trPr>
        <w:tc>
          <w:tcPr>
            <w:tcW w:w="5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15</w:t>
            </w:r>
          </w:p>
        </w:tc>
        <w:tc>
          <w:tcPr>
            <w:tcW w:w="843" w:type="dxa"/>
            <w:vMerge w:val="continue"/>
            <w:tcBorders>
              <w:top w:val="nil"/>
              <w:left w:val="single" w:color="000000" w:sz="4" w:space="0"/>
              <w:bottom w:val="nil"/>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color w:val="000000"/>
                <w:sz w:val="18"/>
                <w:szCs w:val="18"/>
                <w:u w:val="none"/>
              </w:rPr>
            </w:pPr>
          </w:p>
        </w:tc>
        <w:tc>
          <w:tcPr>
            <w:tcW w:w="90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中央财政衔接推进乡村振兴补助资金（巩固拓展脱贫攻坚成果和乡村振兴任务）</w:t>
            </w:r>
          </w:p>
        </w:tc>
        <w:tc>
          <w:tcPr>
            <w:tcW w:w="504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联农带农富农产业发展配套设施建设，必要的基础设施补短板方面的小型公益性基础设施、易地搬迁安置社区配套设施、农村人居环境整治等项目。主要用工环节包括基础挖填、土方作业、场地平整、混凝土施工、工程施工、施工养护、装饰装修等，实施过程中由项目建设单位结合实际确定可用工环节。</w:t>
            </w:r>
          </w:p>
        </w:tc>
        <w:tc>
          <w:tcPr>
            <w:tcW w:w="116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县乡村振兴服务中心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 w:type="dxa"/>
          <w:trHeight w:val="758" w:hRule="atLeast"/>
        </w:trPr>
        <w:tc>
          <w:tcPr>
            <w:tcW w:w="563"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16</w:t>
            </w:r>
          </w:p>
        </w:tc>
        <w:tc>
          <w:tcPr>
            <w:tcW w:w="843" w:type="dxa"/>
            <w:vMerge w:val="restart"/>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color w:val="000000"/>
                <w:kern w:val="0"/>
                <w:sz w:val="18"/>
                <w:szCs w:val="18"/>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kern w:val="0"/>
                <w:sz w:val="18"/>
                <w:szCs w:val="18"/>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kern w:val="0"/>
                <w:sz w:val="18"/>
                <w:szCs w:val="18"/>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城镇建设</w:t>
            </w:r>
          </w:p>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kern w:val="0"/>
                <w:sz w:val="18"/>
                <w:szCs w:val="18"/>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kern w:val="0"/>
                <w:sz w:val="18"/>
                <w:szCs w:val="18"/>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kern w:val="0"/>
                <w:sz w:val="18"/>
                <w:szCs w:val="18"/>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kern w:val="0"/>
                <w:sz w:val="18"/>
                <w:szCs w:val="18"/>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kern w:val="0"/>
                <w:sz w:val="18"/>
                <w:szCs w:val="18"/>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kern w:val="0"/>
                <w:sz w:val="18"/>
                <w:szCs w:val="18"/>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kern w:val="0"/>
                <w:sz w:val="18"/>
                <w:szCs w:val="18"/>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kern w:val="0"/>
                <w:sz w:val="18"/>
                <w:szCs w:val="18"/>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kern w:val="0"/>
                <w:sz w:val="18"/>
                <w:szCs w:val="18"/>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kern w:val="0"/>
                <w:sz w:val="18"/>
                <w:szCs w:val="18"/>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kern w:val="0"/>
                <w:sz w:val="18"/>
                <w:szCs w:val="18"/>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color w:val="000000"/>
                <w:kern w:val="0"/>
                <w:sz w:val="18"/>
                <w:szCs w:val="18"/>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城镇建设</w:t>
            </w:r>
          </w:p>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18"/>
                <w:szCs w:val="18"/>
                <w:u w:val="none"/>
              </w:rPr>
            </w:pPr>
          </w:p>
        </w:tc>
        <w:tc>
          <w:tcPr>
            <w:tcW w:w="906" w:type="dxa"/>
            <w:gridSpan w:val="2"/>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保障性住房建设</w:t>
            </w:r>
          </w:p>
        </w:tc>
        <w:tc>
          <w:tcPr>
            <w:tcW w:w="504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土建施工中的物料搬运；管道挖沟、土方作业等基础性工程。</w:t>
            </w:r>
          </w:p>
        </w:tc>
        <w:tc>
          <w:tcPr>
            <w:tcW w:w="1167" w:type="dxa"/>
            <w:gridSpan w:val="2"/>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县住建局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 w:type="dxa"/>
          <w:trHeight w:val="992" w:hRule="atLeast"/>
        </w:trPr>
        <w:tc>
          <w:tcPr>
            <w:tcW w:w="563"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17</w:t>
            </w:r>
          </w:p>
        </w:tc>
        <w:tc>
          <w:tcPr>
            <w:tcW w:w="843"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color w:val="000000"/>
                <w:sz w:val="18"/>
                <w:szCs w:val="18"/>
                <w:u w:val="none"/>
              </w:rPr>
            </w:pPr>
          </w:p>
        </w:tc>
        <w:tc>
          <w:tcPr>
            <w:tcW w:w="906" w:type="dxa"/>
            <w:gridSpan w:val="2"/>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城市地下综合管廊</w:t>
            </w:r>
          </w:p>
        </w:tc>
        <w:tc>
          <w:tcPr>
            <w:tcW w:w="504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综合管廊基坑回填、廊内管线引出连接并开挖及施工、管廊结构防水施工、廊内管道保温及涂装施工。</w:t>
            </w:r>
          </w:p>
        </w:tc>
        <w:tc>
          <w:tcPr>
            <w:tcW w:w="1167" w:type="dxa"/>
            <w:gridSpan w:val="2"/>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 w:type="dxa"/>
          <w:trHeight w:val="1049" w:hRule="atLeast"/>
        </w:trPr>
        <w:tc>
          <w:tcPr>
            <w:tcW w:w="563"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18</w:t>
            </w:r>
          </w:p>
        </w:tc>
        <w:tc>
          <w:tcPr>
            <w:tcW w:w="843"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18"/>
                <w:szCs w:val="18"/>
                <w:u w:val="none"/>
              </w:rPr>
            </w:pPr>
          </w:p>
        </w:tc>
        <w:tc>
          <w:tcPr>
            <w:tcW w:w="906" w:type="dxa"/>
            <w:gridSpan w:val="2"/>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城市老旧小区改造</w:t>
            </w:r>
          </w:p>
        </w:tc>
        <w:tc>
          <w:tcPr>
            <w:tcW w:w="504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城镇老旧小区改造中地下管线、路面开挖及回填等。</w:t>
            </w:r>
          </w:p>
        </w:tc>
        <w:tc>
          <w:tcPr>
            <w:tcW w:w="116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县住建局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 w:type="dxa"/>
          <w:trHeight w:val="1058" w:hRule="atLeast"/>
        </w:trPr>
        <w:tc>
          <w:tcPr>
            <w:tcW w:w="563"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default" w:ascii="仿宋_GB2312" w:hAnsi="仿宋_GB2312" w:eastAsia="仿宋_GB2312" w:cs="仿宋_GB2312"/>
                <w:i w:val="0"/>
                <w:color w:val="000000"/>
                <w:sz w:val="18"/>
                <w:szCs w:val="18"/>
                <w:u w:val="none"/>
                <w:lang w:val="en-US" w:eastAsia="zh-CN"/>
              </w:rPr>
            </w:pPr>
            <w:r>
              <w:rPr>
                <w:rFonts w:hint="eastAsia" w:ascii="仿宋_GB2312" w:hAnsi="仿宋_GB2312" w:eastAsia="仿宋_GB2312" w:cs="仿宋_GB2312"/>
                <w:i w:val="0"/>
                <w:color w:val="000000"/>
                <w:sz w:val="18"/>
                <w:szCs w:val="18"/>
                <w:u w:val="none"/>
                <w:lang w:val="en-US" w:eastAsia="zh-CN"/>
              </w:rPr>
              <w:t>19</w:t>
            </w:r>
          </w:p>
        </w:tc>
        <w:tc>
          <w:tcPr>
            <w:tcW w:w="843"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color w:val="000000"/>
                <w:sz w:val="18"/>
                <w:szCs w:val="18"/>
                <w:u w:val="none"/>
              </w:rPr>
            </w:pPr>
          </w:p>
        </w:tc>
        <w:tc>
          <w:tcPr>
            <w:tcW w:w="906" w:type="dxa"/>
            <w:gridSpan w:val="2"/>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公立医疗卫生机构建设</w:t>
            </w:r>
          </w:p>
        </w:tc>
        <w:tc>
          <w:tcPr>
            <w:tcW w:w="504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医疗卫生机构基建工程脚手架搭建、钢筋绑扎、抹灰工程、物料搬运、施工场地维护等专业技术要求不高的用工环节。</w:t>
            </w:r>
          </w:p>
        </w:tc>
        <w:tc>
          <w:tcPr>
            <w:tcW w:w="1167" w:type="dxa"/>
            <w:gridSpan w:val="2"/>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县卫健体局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 w:type="dxa"/>
          <w:trHeight w:val="1084" w:hRule="atLeast"/>
        </w:trPr>
        <w:tc>
          <w:tcPr>
            <w:tcW w:w="563"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20</w:t>
            </w:r>
          </w:p>
        </w:tc>
        <w:tc>
          <w:tcPr>
            <w:tcW w:w="843"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color w:val="000000"/>
                <w:sz w:val="18"/>
                <w:szCs w:val="18"/>
                <w:u w:val="none"/>
              </w:rPr>
            </w:pPr>
          </w:p>
        </w:tc>
        <w:tc>
          <w:tcPr>
            <w:tcW w:w="906" w:type="dxa"/>
            <w:gridSpan w:val="2"/>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全民健身场地设施建设</w:t>
            </w:r>
          </w:p>
        </w:tc>
        <w:tc>
          <w:tcPr>
            <w:tcW w:w="504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平整场地、场地基础工程、场地地面工程、室外照明工程、基础工程、主体工程、围护结构工程、屋面工程、装饰装修工程、设备安装工程、建筑室外工程、体育工艺专项工程、体育器材安装工程及其他工程。</w:t>
            </w:r>
          </w:p>
        </w:tc>
        <w:tc>
          <w:tcPr>
            <w:tcW w:w="1167" w:type="dxa"/>
            <w:gridSpan w:val="2"/>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 w:type="dxa"/>
          <w:trHeight w:val="1499" w:hRule="atLeast"/>
        </w:trPr>
        <w:tc>
          <w:tcPr>
            <w:tcW w:w="563"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21</w:t>
            </w:r>
          </w:p>
        </w:tc>
        <w:tc>
          <w:tcPr>
            <w:tcW w:w="843"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color w:val="000000"/>
                <w:sz w:val="18"/>
                <w:szCs w:val="18"/>
                <w:u w:val="none"/>
              </w:rPr>
            </w:pPr>
          </w:p>
        </w:tc>
        <w:tc>
          <w:tcPr>
            <w:tcW w:w="906" w:type="dxa"/>
            <w:gridSpan w:val="2"/>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文化和旅游领域公共服务设施项目建设</w:t>
            </w:r>
          </w:p>
        </w:tc>
        <w:tc>
          <w:tcPr>
            <w:tcW w:w="504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相关项目建设中适宜实施以工代赈的临时工程和零星工程的物料搬运、土建施工和施工生活区服务等各类辅助工程等。</w:t>
            </w:r>
          </w:p>
        </w:tc>
        <w:tc>
          <w:tcPr>
            <w:tcW w:w="116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县文旅局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 w:type="dxa"/>
          <w:trHeight w:val="1031" w:hRule="atLeast"/>
        </w:trPr>
        <w:tc>
          <w:tcPr>
            <w:tcW w:w="5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22</w:t>
            </w:r>
          </w:p>
        </w:tc>
        <w:tc>
          <w:tcPr>
            <w:tcW w:w="843" w:type="dxa"/>
            <w:vMerge w:val="restart"/>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生态建设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（自然资源）</w:t>
            </w:r>
          </w:p>
        </w:tc>
        <w:tc>
          <w:tcPr>
            <w:tcW w:w="90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造林绿化</w:t>
            </w:r>
          </w:p>
        </w:tc>
        <w:tc>
          <w:tcPr>
            <w:tcW w:w="504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林地清理、整地、施肥、栽植、播种、未成林管护、间伐、补植补造等。</w:t>
            </w:r>
          </w:p>
        </w:tc>
        <w:tc>
          <w:tcPr>
            <w:tcW w:w="1167" w:type="dxa"/>
            <w:gridSpan w:val="2"/>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18"/>
                <w:szCs w:val="18"/>
                <w:highlight w:val="none"/>
                <w:u w:val="none"/>
              </w:rPr>
            </w:pPr>
            <w:r>
              <w:rPr>
                <w:rFonts w:hint="eastAsia" w:ascii="仿宋_GB2312" w:hAnsi="仿宋_GB2312" w:eastAsia="仿宋_GB2312" w:cs="仿宋_GB2312"/>
                <w:i w:val="0"/>
                <w:color w:val="000000"/>
                <w:kern w:val="0"/>
                <w:sz w:val="18"/>
                <w:szCs w:val="18"/>
                <w:highlight w:val="none"/>
                <w:u w:val="none"/>
                <w:lang w:val="en-US" w:eastAsia="zh-CN" w:bidi="ar"/>
              </w:rPr>
              <w:t>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 w:type="dxa"/>
          <w:trHeight w:val="1031" w:hRule="atLeast"/>
        </w:trPr>
        <w:tc>
          <w:tcPr>
            <w:tcW w:w="5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18"/>
                <w:szCs w:val="18"/>
                <w:u w:val="none"/>
                <w:lang w:val="en-US"/>
              </w:rPr>
            </w:pPr>
            <w:r>
              <w:rPr>
                <w:rFonts w:hint="eastAsia" w:ascii="仿宋_GB2312" w:hAnsi="仿宋_GB2312" w:eastAsia="仿宋_GB2312" w:cs="仿宋_GB2312"/>
                <w:i w:val="0"/>
                <w:color w:val="000000"/>
                <w:kern w:val="0"/>
                <w:sz w:val="18"/>
                <w:szCs w:val="18"/>
                <w:u w:val="none"/>
                <w:lang w:val="en-US" w:eastAsia="zh-CN" w:bidi="ar"/>
              </w:rPr>
              <w:t>23</w:t>
            </w:r>
          </w:p>
        </w:tc>
        <w:tc>
          <w:tcPr>
            <w:tcW w:w="843" w:type="dxa"/>
            <w:vMerge w:val="continue"/>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color w:val="000000"/>
                <w:sz w:val="18"/>
                <w:szCs w:val="18"/>
                <w:u w:val="none"/>
              </w:rPr>
            </w:pPr>
          </w:p>
        </w:tc>
        <w:tc>
          <w:tcPr>
            <w:tcW w:w="90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湿地保护修复</w:t>
            </w:r>
          </w:p>
        </w:tc>
        <w:tc>
          <w:tcPr>
            <w:tcW w:w="504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植物栽植、围网安装、红树林管护等。</w:t>
            </w:r>
          </w:p>
        </w:tc>
        <w:tc>
          <w:tcPr>
            <w:tcW w:w="1167" w:type="dxa"/>
            <w:gridSpan w:val="2"/>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 w:type="dxa"/>
          <w:trHeight w:val="1040" w:hRule="atLeast"/>
        </w:trPr>
        <w:tc>
          <w:tcPr>
            <w:tcW w:w="5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18"/>
                <w:szCs w:val="18"/>
                <w:u w:val="none"/>
                <w:lang w:val="en-US"/>
              </w:rPr>
            </w:pPr>
            <w:r>
              <w:rPr>
                <w:rFonts w:hint="eastAsia" w:ascii="仿宋_GB2312" w:hAnsi="仿宋_GB2312" w:eastAsia="仿宋_GB2312" w:cs="仿宋_GB2312"/>
                <w:i w:val="0"/>
                <w:color w:val="000000"/>
                <w:kern w:val="0"/>
                <w:sz w:val="18"/>
                <w:szCs w:val="18"/>
                <w:u w:val="none"/>
                <w:lang w:val="en-US" w:eastAsia="zh-CN" w:bidi="ar"/>
              </w:rPr>
              <w:t>24</w:t>
            </w:r>
          </w:p>
        </w:tc>
        <w:tc>
          <w:tcPr>
            <w:tcW w:w="843"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灾后恢复重建</w:t>
            </w:r>
          </w:p>
        </w:tc>
        <w:tc>
          <w:tcPr>
            <w:tcW w:w="90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灾后恢复重建</w:t>
            </w:r>
          </w:p>
        </w:tc>
        <w:tc>
          <w:tcPr>
            <w:tcW w:w="504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根据灾后恢复重建工程具体内容，参照同类项目确定可适用以工代赈的相关建设任务和用工环节。</w:t>
            </w:r>
          </w:p>
        </w:tc>
        <w:tc>
          <w:tcPr>
            <w:tcW w:w="116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各有关部门</w:t>
            </w:r>
          </w:p>
        </w:tc>
      </w:tr>
    </w:tbl>
    <w:p>
      <w:pPr>
        <w:pStyle w:val="2"/>
        <w:keepNext w:val="0"/>
        <w:keepLines w:val="0"/>
        <w:pageBreakBefore w:val="0"/>
        <w:widowControl w:val="0"/>
        <w:kinsoku/>
        <w:wordWrap/>
        <w:overflowPunct/>
        <w:topLinePunct w:val="0"/>
        <w:autoSpaceDE/>
        <w:autoSpaceDN/>
        <w:bidi w:val="0"/>
        <w:adjustRightInd w:val="0"/>
        <w:snapToGrid w:val="0"/>
        <w:spacing w:after="0" w:afterLines="0" w:line="630" w:lineRule="exact"/>
        <w:ind w:left="0" w:leftChars="0" w:right="0" w:rightChars="0" w:firstLine="0" w:firstLineChars="0"/>
        <w:jc w:val="both"/>
        <w:textAlignment w:val="auto"/>
        <w:outlineLvl w:val="9"/>
        <w:rPr>
          <w:rFonts w:hint="default" w:ascii="黑体" w:hAnsi="黑体" w:eastAsia="黑体" w:cs="黑体"/>
          <w:sz w:val="32"/>
          <w:szCs w:val="32"/>
          <w:lang w:val="en-US" w:eastAsia="zh-CN"/>
        </w:rPr>
        <w:sectPr>
          <w:footerReference r:id="rId3" w:type="default"/>
          <w:pgSz w:w="11906" w:h="16838"/>
          <w:pgMar w:top="1871" w:right="1474" w:bottom="1871" w:left="1587" w:header="851" w:footer="1417" w:gutter="0"/>
          <w:pgNumType w:fmt="numberInDash" w:start="2"/>
          <w:cols w:space="0" w:num="1"/>
          <w:rtlGutter w:val="0"/>
          <w:docGrid w:type="lines" w:linePitch="324" w:charSpace="0"/>
        </w:sectPr>
      </w:pPr>
    </w:p>
    <w:p>
      <w:pPr>
        <w:pStyle w:val="2"/>
        <w:keepNext w:val="0"/>
        <w:keepLines w:val="0"/>
        <w:pageBreakBefore w:val="0"/>
        <w:widowControl w:val="0"/>
        <w:kinsoku/>
        <w:wordWrap/>
        <w:overflowPunct/>
        <w:topLinePunct w:val="0"/>
        <w:autoSpaceDE/>
        <w:autoSpaceDN/>
        <w:bidi w:val="0"/>
        <w:adjustRightInd w:val="0"/>
        <w:snapToGrid w:val="0"/>
        <w:spacing w:after="0" w:afterLines="0" w:line="630" w:lineRule="exact"/>
        <w:ind w:left="0" w:leftChars="0" w:right="0" w:rightChars="0" w:firstLine="0" w:firstLineChars="0"/>
        <w:jc w:val="both"/>
        <w:textAlignment w:val="auto"/>
        <w:outlineLvl w:val="9"/>
        <w:rPr>
          <w:rFonts w:hint="default" w:ascii="黑体" w:hAnsi="黑体" w:eastAsia="黑体" w:cs="黑体"/>
          <w:sz w:val="32"/>
          <w:szCs w:val="32"/>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after="0" w:afterLines="0" w:line="630" w:lineRule="exact"/>
        <w:ind w:left="0" w:leftChars="0" w:right="0" w:rightChars="0" w:firstLine="0" w:firstLineChars="0"/>
        <w:jc w:val="both"/>
        <w:textAlignment w:val="auto"/>
        <w:outlineLvl w:val="9"/>
        <w:rPr>
          <w:rFonts w:hint="default" w:ascii="黑体" w:hAnsi="黑体" w:eastAsia="黑体" w:cs="黑体"/>
          <w:sz w:val="32"/>
          <w:szCs w:val="32"/>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after="0" w:afterLines="0" w:line="630" w:lineRule="exact"/>
        <w:ind w:left="0" w:leftChars="0" w:right="0" w:rightChars="0" w:firstLine="0" w:firstLineChars="0"/>
        <w:jc w:val="both"/>
        <w:textAlignment w:val="auto"/>
        <w:outlineLvl w:val="9"/>
        <w:rPr>
          <w:rFonts w:hint="default" w:ascii="黑体" w:hAnsi="黑体" w:eastAsia="黑体" w:cs="黑体"/>
          <w:sz w:val="32"/>
          <w:szCs w:val="32"/>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after="0" w:afterLines="0" w:line="630" w:lineRule="exact"/>
        <w:ind w:left="0" w:leftChars="0" w:right="0" w:rightChars="0" w:firstLine="0" w:firstLineChars="0"/>
        <w:jc w:val="both"/>
        <w:textAlignment w:val="auto"/>
        <w:outlineLvl w:val="9"/>
        <w:rPr>
          <w:rFonts w:hint="default" w:ascii="黑体" w:hAnsi="黑体" w:eastAsia="黑体" w:cs="黑体"/>
          <w:sz w:val="32"/>
          <w:szCs w:val="32"/>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after="0" w:afterLines="0" w:line="630" w:lineRule="exact"/>
        <w:ind w:left="0" w:leftChars="0" w:right="0" w:rightChars="0" w:firstLine="0" w:firstLineChars="0"/>
        <w:jc w:val="both"/>
        <w:textAlignment w:val="auto"/>
        <w:outlineLvl w:val="9"/>
        <w:rPr>
          <w:rFonts w:hint="default" w:ascii="黑体" w:hAnsi="黑体" w:eastAsia="黑体" w:cs="黑体"/>
          <w:sz w:val="32"/>
          <w:szCs w:val="32"/>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after="0" w:afterLines="0" w:line="630" w:lineRule="exact"/>
        <w:ind w:left="0" w:leftChars="0" w:right="0" w:rightChars="0" w:firstLine="0" w:firstLineChars="0"/>
        <w:jc w:val="both"/>
        <w:textAlignment w:val="auto"/>
        <w:outlineLvl w:val="9"/>
        <w:rPr>
          <w:rFonts w:hint="default" w:ascii="黑体" w:hAnsi="黑体" w:eastAsia="黑体" w:cs="黑体"/>
          <w:sz w:val="32"/>
          <w:szCs w:val="32"/>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after="0" w:afterLines="0" w:line="630" w:lineRule="exact"/>
        <w:ind w:left="0" w:leftChars="0" w:right="0" w:rightChars="0" w:firstLine="640" w:firstLineChars="200"/>
        <w:jc w:val="both"/>
        <w:textAlignment w:val="auto"/>
        <w:outlineLvl w:val="9"/>
        <w:rPr>
          <w:rFonts w:hint="default" w:ascii="黑体" w:hAnsi="黑体" w:eastAsia="黑体" w:cs="黑体"/>
          <w:sz w:val="32"/>
          <w:szCs w:val="32"/>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after="0" w:afterLines="0" w:line="630" w:lineRule="exact"/>
        <w:ind w:left="0" w:leftChars="0" w:right="0" w:rightChars="0" w:firstLine="640" w:firstLineChars="200"/>
        <w:jc w:val="both"/>
        <w:textAlignment w:val="auto"/>
        <w:outlineLvl w:val="9"/>
        <w:rPr>
          <w:rFonts w:hint="default" w:ascii="黑体" w:hAnsi="黑体" w:eastAsia="黑体" w:cs="黑体"/>
          <w:sz w:val="32"/>
          <w:szCs w:val="32"/>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after="0" w:afterLines="0" w:line="630" w:lineRule="exact"/>
        <w:ind w:left="0" w:leftChars="0" w:right="0" w:rightChars="0" w:firstLine="640" w:firstLineChars="200"/>
        <w:jc w:val="both"/>
        <w:textAlignment w:val="auto"/>
        <w:outlineLvl w:val="9"/>
        <w:rPr>
          <w:rFonts w:hint="default" w:ascii="黑体" w:hAnsi="黑体" w:eastAsia="黑体" w:cs="黑体"/>
          <w:sz w:val="32"/>
          <w:szCs w:val="32"/>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after="0" w:afterLines="0" w:line="630" w:lineRule="exact"/>
        <w:ind w:left="0" w:leftChars="0" w:right="0" w:rightChars="0" w:firstLine="0" w:firstLineChars="0"/>
        <w:jc w:val="both"/>
        <w:textAlignment w:val="auto"/>
        <w:outlineLvl w:val="9"/>
        <w:rPr>
          <w:rFonts w:hint="default" w:ascii="黑体" w:hAnsi="黑体" w:eastAsia="黑体" w:cs="黑体"/>
          <w:sz w:val="32"/>
          <w:szCs w:val="32"/>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after="0" w:afterLines="0" w:line="630" w:lineRule="exact"/>
        <w:ind w:left="0" w:leftChars="0" w:right="0" w:rightChars="0" w:firstLine="0" w:firstLineChars="0"/>
        <w:jc w:val="both"/>
        <w:textAlignment w:val="auto"/>
        <w:outlineLvl w:val="9"/>
        <w:rPr>
          <w:rFonts w:hint="default" w:ascii="黑体" w:hAnsi="黑体" w:eastAsia="黑体" w:cs="黑体"/>
          <w:sz w:val="32"/>
          <w:szCs w:val="32"/>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after="0" w:afterLines="0" w:line="630" w:lineRule="exact"/>
        <w:ind w:left="0" w:leftChars="0" w:right="0" w:rightChars="0" w:firstLine="0" w:firstLineChars="0"/>
        <w:jc w:val="both"/>
        <w:textAlignment w:val="auto"/>
        <w:outlineLvl w:val="9"/>
        <w:rPr>
          <w:rFonts w:hint="default" w:ascii="黑体" w:hAnsi="黑体" w:eastAsia="黑体" w:cs="黑体"/>
          <w:sz w:val="32"/>
          <w:szCs w:val="32"/>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after="0" w:afterLines="0" w:line="630" w:lineRule="exact"/>
        <w:ind w:left="0" w:leftChars="0" w:right="0" w:rightChars="0" w:firstLine="0" w:firstLineChars="0"/>
        <w:jc w:val="both"/>
        <w:textAlignment w:val="auto"/>
        <w:outlineLvl w:val="9"/>
        <w:rPr>
          <w:rFonts w:hint="default" w:ascii="黑体" w:hAnsi="黑体" w:eastAsia="黑体" w:cs="黑体"/>
          <w:sz w:val="32"/>
          <w:szCs w:val="32"/>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after="0" w:afterLines="0" w:line="630" w:lineRule="exact"/>
        <w:ind w:left="0" w:leftChars="0" w:right="0" w:rightChars="0" w:firstLine="0" w:firstLineChars="0"/>
        <w:jc w:val="both"/>
        <w:textAlignment w:val="auto"/>
        <w:outlineLvl w:val="9"/>
        <w:rPr>
          <w:rFonts w:hint="default" w:ascii="黑体" w:hAnsi="黑体" w:eastAsia="黑体" w:cs="黑体"/>
          <w:sz w:val="32"/>
          <w:szCs w:val="32"/>
          <w:lang w:val="en-US" w:eastAsia="zh-CN"/>
        </w:rPr>
      </w:pPr>
    </w:p>
    <w:tbl>
      <w:tblPr>
        <w:tblStyle w:val="10"/>
        <w:tblpPr w:leftFromText="180" w:rightFromText="180" w:vertAnchor="text" w:horzAnchor="page" w:tblpX="1517" w:tblpY="86"/>
        <w:tblOverlap w:val="never"/>
        <w:tblW w:w="88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59" w:hRule="atLeast"/>
        </w:trPr>
        <w:tc>
          <w:tcPr>
            <w:tcW w:w="8844" w:type="dxa"/>
            <w:tcBorders>
              <w:left w:val="nil"/>
              <w:right w:val="nil"/>
            </w:tcBorders>
            <w:vAlign w:val="center"/>
          </w:tcPr>
          <w:p>
            <w:pPr>
              <w:pStyle w:val="2"/>
              <w:keepNext w:val="0"/>
              <w:keepLines w:val="0"/>
              <w:pageBreakBefore w:val="0"/>
              <w:widowControl w:val="0"/>
              <w:kinsoku/>
              <w:wordWrap/>
              <w:overflowPunct/>
              <w:topLinePunct w:val="0"/>
              <w:autoSpaceDE/>
              <w:autoSpaceDN/>
              <w:bidi w:val="0"/>
              <w:adjustRightInd w:val="0"/>
              <w:snapToGrid w:val="0"/>
              <w:spacing w:line="650" w:lineRule="exact"/>
              <w:ind w:left="0" w:leftChars="0" w:firstLine="0" w:firstLineChars="0"/>
              <w:textAlignment w:val="auto"/>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844" w:type="dxa"/>
            <w:tcBorders>
              <w:left w:val="nil"/>
              <w:right w:val="nil"/>
            </w:tcBorders>
            <w:vAlign w:val="center"/>
          </w:tcPr>
          <w:p>
            <w:pPr>
              <w:numPr>
                <w:ilvl w:val="0"/>
                <w:numId w:val="0"/>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芮城县发展和改革局                 2023年12月5日印发</w:t>
            </w:r>
          </w:p>
        </w:tc>
      </w:tr>
    </w:tbl>
    <w:p>
      <w:pPr>
        <w:pStyle w:val="2"/>
        <w:keepNext w:val="0"/>
        <w:keepLines w:val="0"/>
        <w:pageBreakBefore w:val="0"/>
        <w:widowControl w:val="0"/>
        <w:kinsoku/>
        <w:wordWrap/>
        <w:overflowPunct/>
        <w:topLinePunct w:val="0"/>
        <w:autoSpaceDE/>
        <w:autoSpaceDN/>
        <w:bidi w:val="0"/>
        <w:adjustRightInd w:val="0"/>
        <w:snapToGrid w:val="0"/>
        <w:spacing w:after="0" w:afterLines="0" w:line="630" w:lineRule="exact"/>
        <w:ind w:left="0" w:leftChars="0" w:right="0" w:rightChars="0" w:firstLine="0" w:firstLineChars="0"/>
        <w:jc w:val="both"/>
        <w:textAlignment w:val="auto"/>
        <w:outlineLvl w:val="9"/>
        <w:rPr>
          <w:rFonts w:hint="default" w:ascii="黑体" w:hAnsi="黑体" w:eastAsia="黑体" w:cs="黑体"/>
          <w:sz w:val="32"/>
          <w:szCs w:val="32"/>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after="0" w:afterLines="0" w:line="630" w:lineRule="exact"/>
        <w:ind w:left="0" w:leftChars="0" w:right="0" w:rightChars="0" w:firstLine="0" w:firstLineChars="0"/>
        <w:jc w:val="both"/>
        <w:textAlignment w:val="auto"/>
        <w:outlineLvl w:val="9"/>
        <w:rPr>
          <w:rFonts w:hint="default" w:ascii="黑体" w:hAnsi="黑体" w:eastAsia="黑体" w:cs="黑体"/>
          <w:sz w:val="32"/>
          <w:szCs w:val="32"/>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after="0" w:afterLines="0" w:line="630" w:lineRule="exact"/>
        <w:ind w:left="0" w:leftChars="0" w:right="0" w:rightChars="0" w:firstLine="0" w:firstLineChars="0"/>
        <w:jc w:val="both"/>
        <w:textAlignment w:val="auto"/>
        <w:outlineLvl w:val="9"/>
        <w:rPr>
          <w:rFonts w:hint="default" w:ascii="黑体" w:hAnsi="黑体" w:eastAsia="黑体" w:cs="黑体"/>
          <w:sz w:val="32"/>
          <w:szCs w:val="32"/>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after="0" w:afterLines="0" w:line="630" w:lineRule="exact"/>
        <w:ind w:left="0" w:leftChars="0" w:right="0" w:rightChars="0" w:firstLine="0" w:firstLineChars="0"/>
        <w:jc w:val="both"/>
        <w:textAlignment w:val="auto"/>
        <w:outlineLvl w:val="9"/>
        <w:rPr>
          <w:rFonts w:hint="default" w:ascii="黑体" w:hAnsi="黑体" w:eastAsia="黑体" w:cs="黑体"/>
          <w:sz w:val="32"/>
          <w:szCs w:val="32"/>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after="0" w:afterLines="0" w:line="630" w:lineRule="exact"/>
        <w:ind w:left="0" w:leftChars="0" w:right="0" w:rightChars="0" w:firstLine="0" w:firstLineChars="0"/>
        <w:jc w:val="both"/>
        <w:textAlignment w:val="auto"/>
        <w:outlineLvl w:val="9"/>
        <w:rPr>
          <w:rFonts w:hint="default" w:ascii="黑体" w:hAnsi="黑体" w:eastAsia="黑体" w:cs="黑体"/>
          <w:sz w:val="32"/>
          <w:szCs w:val="32"/>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after="0" w:afterLines="0" w:line="630" w:lineRule="exact"/>
        <w:ind w:left="0" w:leftChars="0" w:right="0" w:rightChars="0" w:firstLine="0" w:firstLineChars="0"/>
        <w:jc w:val="both"/>
        <w:textAlignment w:val="auto"/>
        <w:outlineLvl w:val="9"/>
        <w:rPr>
          <w:rFonts w:hint="default" w:ascii="黑体" w:hAnsi="黑体" w:eastAsia="黑体" w:cs="黑体"/>
          <w:sz w:val="32"/>
          <w:szCs w:val="32"/>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after="0" w:afterLines="0" w:line="630" w:lineRule="exact"/>
        <w:ind w:left="0" w:leftChars="0" w:right="0" w:rightChars="0" w:firstLine="0" w:firstLineChars="0"/>
        <w:jc w:val="both"/>
        <w:textAlignment w:val="auto"/>
        <w:outlineLvl w:val="9"/>
        <w:rPr>
          <w:rFonts w:hint="default" w:ascii="黑体" w:hAnsi="黑体" w:eastAsia="黑体" w:cs="黑体"/>
          <w:sz w:val="32"/>
          <w:szCs w:val="32"/>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after="0" w:afterLines="0" w:line="630" w:lineRule="exact"/>
        <w:ind w:left="0" w:leftChars="0" w:right="0" w:rightChars="0" w:firstLine="0" w:firstLineChars="0"/>
        <w:jc w:val="both"/>
        <w:textAlignment w:val="auto"/>
        <w:outlineLvl w:val="9"/>
        <w:rPr>
          <w:rFonts w:hint="default" w:ascii="黑体" w:hAnsi="黑体" w:eastAsia="黑体" w:cs="黑体"/>
          <w:sz w:val="32"/>
          <w:szCs w:val="32"/>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after="0" w:afterLines="0" w:line="630" w:lineRule="exact"/>
        <w:ind w:left="0" w:leftChars="0" w:right="0" w:rightChars="0" w:firstLine="0" w:firstLineChars="0"/>
        <w:jc w:val="both"/>
        <w:textAlignment w:val="auto"/>
        <w:outlineLvl w:val="9"/>
        <w:rPr>
          <w:rFonts w:hint="default" w:ascii="黑体" w:hAnsi="黑体" w:eastAsia="黑体" w:cs="黑体"/>
          <w:sz w:val="32"/>
          <w:szCs w:val="32"/>
          <w:lang w:val="en-US" w:eastAsia="zh-CN"/>
        </w:rPr>
      </w:pPr>
    </w:p>
    <w:sectPr>
      <w:footerReference r:id="rId4" w:type="default"/>
      <w:pgSz w:w="11906" w:h="16838"/>
      <w:pgMar w:top="1871" w:right="1474" w:bottom="1871" w:left="1587" w:header="851" w:footer="1417" w:gutter="0"/>
      <w:pgNumType w:fmt="numberInDash" w:start="2"/>
      <w:cols w:space="0" w:num="1"/>
      <w:rtlGutter w:val="0"/>
      <w:docGrid w:type="lines" w:linePitch="32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CESI仿宋-GB2312">
    <w:altName w:val="仿宋"/>
    <w:panose1 w:val="02000500000000000000"/>
    <w:charset w:val="86"/>
    <w:family w:val="auto"/>
    <w:pitch w:val="default"/>
    <w:sig w:usb0="00000000" w:usb1="00000000" w:usb2="00000010" w:usb3="00000000" w:csb0="0004000F" w:csb1="00000000"/>
  </w:font>
  <w:font w:name="CESI黑体-GB2312">
    <w:altName w:val="黑体"/>
    <w:panose1 w:val="02000500000000000000"/>
    <w:charset w:val="86"/>
    <w:family w:val="auto"/>
    <w:pitch w:val="default"/>
    <w:sig w:usb0="00000000" w:usb1="00000000" w:usb2="00000012" w:usb3="00000000" w:csb0="0004000F" w:csb1="00000000"/>
  </w:font>
  <w:font w:name="方正小标宋_GBK">
    <w:altName w:val="微软雅黑"/>
    <w:panose1 w:val="02000000000000000000"/>
    <w:charset w:val="86"/>
    <w:family w:val="script"/>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  \* MERGEFORMAT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- 9 -</w:t>
                          </w:r>
                          <w:r>
                            <w:rPr>
                              <w:rFonts w:hint="eastAsia" w:asciiTheme="minorEastAsia" w:hAnsiTheme="minorEastAsia" w:eastAsiaTheme="minorEastAsia" w:cstheme="minorEastAsia"/>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  \* MERGEFORMAT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- 9 -</w:t>
                    </w:r>
                    <w:r>
                      <w:rPr>
                        <w:rFonts w:hint="eastAsia" w:asciiTheme="minorEastAsia" w:hAnsiTheme="minorEastAsia" w:eastAsiaTheme="minorEastAsia" w:cstheme="minorEastAsia"/>
                        <w:sz w:val="21"/>
                        <w:szCs w:val="21"/>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62"/>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wYzMyZDIwMTA0YmY2NGFhNWExNDhiYjAxYzdlZTgifQ=="/>
  </w:docVars>
  <w:rsids>
    <w:rsidRoot w:val="649D3705"/>
    <w:rsid w:val="033D1876"/>
    <w:rsid w:val="03705F45"/>
    <w:rsid w:val="043949D0"/>
    <w:rsid w:val="057052F2"/>
    <w:rsid w:val="06693C34"/>
    <w:rsid w:val="07997D53"/>
    <w:rsid w:val="07D24A1A"/>
    <w:rsid w:val="08D67598"/>
    <w:rsid w:val="09184F51"/>
    <w:rsid w:val="0BB21AE4"/>
    <w:rsid w:val="0CCF3063"/>
    <w:rsid w:val="0FFF3A5E"/>
    <w:rsid w:val="10E912B5"/>
    <w:rsid w:val="1158632A"/>
    <w:rsid w:val="116F7427"/>
    <w:rsid w:val="138A0456"/>
    <w:rsid w:val="14184E9A"/>
    <w:rsid w:val="159E4C24"/>
    <w:rsid w:val="16634286"/>
    <w:rsid w:val="18024616"/>
    <w:rsid w:val="180D537A"/>
    <w:rsid w:val="184C16AA"/>
    <w:rsid w:val="188146E0"/>
    <w:rsid w:val="1C7020B3"/>
    <w:rsid w:val="1E3FB2A4"/>
    <w:rsid w:val="1E98652D"/>
    <w:rsid w:val="1EBC0460"/>
    <w:rsid w:val="21097AFB"/>
    <w:rsid w:val="21130B78"/>
    <w:rsid w:val="213A7C35"/>
    <w:rsid w:val="21515666"/>
    <w:rsid w:val="21645399"/>
    <w:rsid w:val="21A84AA9"/>
    <w:rsid w:val="26E06790"/>
    <w:rsid w:val="2765565B"/>
    <w:rsid w:val="27BD7E0E"/>
    <w:rsid w:val="290537F5"/>
    <w:rsid w:val="296A19BB"/>
    <w:rsid w:val="2A731E04"/>
    <w:rsid w:val="2B6B38DF"/>
    <w:rsid w:val="2C274349"/>
    <w:rsid w:val="2C466D5E"/>
    <w:rsid w:val="2C570099"/>
    <w:rsid w:val="300D7471"/>
    <w:rsid w:val="315D2AD6"/>
    <w:rsid w:val="316C3D58"/>
    <w:rsid w:val="33355F1C"/>
    <w:rsid w:val="34277471"/>
    <w:rsid w:val="34756D7A"/>
    <w:rsid w:val="358E7BBF"/>
    <w:rsid w:val="35D949AF"/>
    <w:rsid w:val="370136AC"/>
    <w:rsid w:val="3718335F"/>
    <w:rsid w:val="375D1869"/>
    <w:rsid w:val="379A4D23"/>
    <w:rsid w:val="383C7A45"/>
    <w:rsid w:val="383E497B"/>
    <w:rsid w:val="38A33AF5"/>
    <w:rsid w:val="39547783"/>
    <w:rsid w:val="39AAC7D4"/>
    <w:rsid w:val="39B8327C"/>
    <w:rsid w:val="3B7467EF"/>
    <w:rsid w:val="3C07306F"/>
    <w:rsid w:val="3C403E73"/>
    <w:rsid w:val="3C8A1FF3"/>
    <w:rsid w:val="3DDE33B9"/>
    <w:rsid w:val="3E9B2418"/>
    <w:rsid w:val="3EBC0C51"/>
    <w:rsid w:val="3F5D2757"/>
    <w:rsid w:val="3FE99992"/>
    <w:rsid w:val="401F3B19"/>
    <w:rsid w:val="41FD56A9"/>
    <w:rsid w:val="4287702E"/>
    <w:rsid w:val="42FB7D1D"/>
    <w:rsid w:val="43421755"/>
    <w:rsid w:val="44CE34F8"/>
    <w:rsid w:val="458FBBE5"/>
    <w:rsid w:val="46091165"/>
    <w:rsid w:val="47310F0A"/>
    <w:rsid w:val="48127459"/>
    <w:rsid w:val="49423876"/>
    <w:rsid w:val="49C61DD4"/>
    <w:rsid w:val="4AEE7B29"/>
    <w:rsid w:val="4B63653E"/>
    <w:rsid w:val="4C679537"/>
    <w:rsid w:val="4D103CA7"/>
    <w:rsid w:val="4E5E4D9B"/>
    <w:rsid w:val="4EBFF862"/>
    <w:rsid w:val="4F2F20CA"/>
    <w:rsid w:val="4F8346AD"/>
    <w:rsid w:val="522D611B"/>
    <w:rsid w:val="52C538BA"/>
    <w:rsid w:val="53111C00"/>
    <w:rsid w:val="53F86BF3"/>
    <w:rsid w:val="547D7B17"/>
    <w:rsid w:val="56AB12C7"/>
    <w:rsid w:val="57D81642"/>
    <w:rsid w:val="594C2939"/>
    <w:rsid w:val="595C4E5A"/>
    <w:rsid w:val="5967B97F"/>
    <w:rsid w:val="59AB25C2"/>
    <w:rsid w:val="5AFC3A2E"/>
    <w:rsid w:val="5CB74272"/>
    <w:rsid w:val="5CE38576"/>
    <w:rsid w:val="5D7F38BD"/>
    <w:rsid w:val="5FF635B6"/>
    <w:rsid w:val="61ED298E"/>
    <w:rsid w:val="621A016D"/>
    <w:rsid w:val="6443445A"/>
    <w:rsid w:val="649D3705"/>
    <w:rsid w:val="653654CA"/>
    <w:rsid w:val="670C0AF1"/>
    <w:rsid w:val="67ED6B1B"/>
    <w:rsid w:val="684D2F36"/>
    <w:rsid w:val="68A02B5E"/>
    <w:rsid w:val="699C011C"/>
    <w:rsid w:val="69C1440D"/>
    <w:rsid w:val="6E7BFD73"/>
    <w:rsid w:val="6FFFDE9A"/>
    <w:rsid w:val="700E4FBC"/>
    <w:rsid w:val="726E43A2"/>
    <w:rsid w:val="72E650E9"/>
    <w:rsid w:val="737DC96B"/>
    <w:rsid w:val="74462C9C"/>
    <w:rsid w:val="74E74F68"/>
    <w:rsid w:val="74FFB1EB"/>
    <w:rsid w:val="77C056C6"/>
    <w:rsid w:val="77FD0299"/>
    <w:rsid w:val="79A550C6"/>
    <w:rsid w:val="7B01560C"/>
    <w:rsid w:val="7B4D1813"/>
    <w:rsid w:val="7BD55156"/>
    <w:rsid w:val="7CA241AE"/>
    <w:rsid w:val="7CDF2FF9"/>
    <w:rsid w:val="7D7D5E03"/>
    <w:rsid w:val="7EC3C307"/>
    <w:rsid w:val="7EEF032F"/>
    <w:rsid w:val="7EFF5651"/>
    <w:rsid w:val="7FDDED7E"/>
    <w:rsid w:val="96FB2877"/>
    <w:rsid w:val="9F7A3C53"/>
    <w:rsid w:val="A7DE445B"/>
    <w:rsid w:val="A9FF0FC9"/>
    <w:rsid w:val="B3FE587B"/>
    <w:rsid w:val="B67FEB13"/>
    <w:rsid w:val="BBBDE9E0"/>
    <w:rsid w:val="BDEE2BFD"/>
    <w:rsid w:val="BEFAB44A"/>
    <w:rsid w:val="BFFEDEF0"/>
    <w:rsid w:val="C5DE9A29"/>
    <w:rsid w:val="C68A0CB0"/>
    <w:rsid w:val="D1AAA3F3"/>
    <w:rsid w:val="D9FE4E9F"/>
    <w:rsid w:val="DBDF616C"/>
    <w:rsid w:val="DEF7334B"/>
    <w:rsid w:val="DEFE5504"/>
    <w:rsid w:val="DFFB5B78"/>
    <w:rsid w:val="F7F58764"/>
    <w:rsid w:val="F88D3084"/>
    <w:rsid w:val="FB39FD19"/>
    <w:rsid w:val="FB77115C"/>
    <w:rsid w:val="FDD75997"/>
    <w:rsid w:val="FDF9DE31"/>
    <w:rsid w:val="FE3B462C"/>
    <w:rsid w:val="FE45087D"/>
    <w:rsid w:val="FF3DEDDC"/>
    <w:rsid w:val="FFBF4996"/>
    <w:rsid w:val="FFE353C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autoRedefine/>
    <w:qFormat/>
    <w:uiPriority w:val="9"/>
    <w:pPr>
      <w:keepNext/>
      <w:keepLines/>
      <w:spacing w:before="340" w:after="330" w:line="578" w:lineRule="auto"/>
      <w:outlineLvl w:val="0"/>
    </w:pPr>
    <w:rPr>
      <w:b/>
      <w:bCs/>
      <w:kern w:val="44"/>
      <w:sz w:val="44"/>
      <w:szCs w:val="44"/>
    </w:rPr>
  </w:style>
  <w:style w:type="paragraph" w:styleId="4">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11">
    <w:name w:val="Default Paragraph Font"/>
    <w:link w:val="12"/>
    <w:autoRedefine/>
    <w:semiHidden/>
    <w:qFormat/>
    <w:uiPriority w:val="0"/>
    <w:rPr>
      <w:rFonts w:ascii="Verdana" w:hAnsi="Verdana" w:eastAsia="宋体" w:cs="Times New Roman"/>
      <w:kern w:val="0"/>
      <w:sz w:val="24"/>
      <w:lang w:eastAsia="en-US"/>
    </w:rPr>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Indent 3"/>
    <w:basedOn w:val="1"/>
    <w:qFormat/>
    <w:uiPriority w:val="0"/>
    <w:pPr>
      <w:spacing w:after="120" w:afterLines="0" w:afterAutospacing="0"/>
      <w:ind w:left="420" w:leftChars="200"/>
    </w:pPr>
    <w:rPr>
      <w:sz w:val="16"/>
    </w:rPr>
  </w:style>
  <w:style w:type="paragraph" w:styleId="5">
    <w:name w:val="Body Text"/>
    <w:basedOn w:val="1"/>
    <w:qFormat/>
    <w:uiPriority w:val="0"/>
    <w:pPr>
      <w:adjustRightInd w:val="0"/>
      <w:spacing w:after="120" w:line="315" w:lineRule="atLeast"/>
      <w:jc w:val="left"/>
      <w:textAlignment w:val="baseline"/>
    </w:pPr>
    <w:rPr>
      <w:rFonts w:ascii="宋体"/>
      <w:kern w:val="0"/>
      <w:szCs w:val="21"/>
    </w:rPr>
  </w:style>
  <w:style w:type="paragraph" w:styleId="6">
    <w:name w:val="footer"/>
    <w:basedOn w:val="1"/>
    <w:autoRedefine/>
    <w:qFormat/>
    <w:uiPriority w:val="0"/>
    <w:pPr>
      <w:tabs>
        <w:tab w:val="center" w:pos="4153"/>
        <w:tab w:val="right" w:pos="8306"/>
      </w:tabs>
      <w:snapToGrid w:val="0"/>
      <w:jc w:val="left"/>
    </w:pPr>
    <w:rPr>
      <w:sz w:val="18"/>
    </w:rPr>
  </w:style>
  <w:style w:type="paragraph" w:styleId="7">
    <w:name w:val="header"/>
    <w:basedOn w:val="1"/>
    <w:next w:val="5"/>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Char Char Char Char"/>
    <w:basedOn w:val="1"/>
    <w:link w:val="11"/>
    <w:autoRedefine/>
    <w:qFormat/>
    <w:uiPriority w:val="0"/>
    <w:pPr>
      <w:widowControl/>
      <w:spacing w:after="160" w:line="240" w:lineRule="exact"/>
      <w:jc w:val="left"/>
    </w:pPr>
    <w:rPr>
      <w:rFonts w:ascii="Verdana" w:hAnsi="Verdana" w:eastAsia="宋体" w:cs="Times New Roman"/>
      <w:kern w:val="0"/>
      <w:sz w:val="24"/>
      <w:lang w:eastAsia="en-US"/>
    </w:rPr>
  </w:style>
  <w:style w:type="character" w:styleId="13">
    <w:name w:val="Strong"/>
    <w:basedOn w:val="11"/>
    <w:qFormat/>
    <w:uiPriority w:val="0"/>
    <w:rPr>
      <w:b/>
    </w:rPr>
  </w:style>
  <w:style w:type="character" w:styleId="14">
    <w:name w:val="Hyperlink"/>
    <w:basedOn w:val="11"/>
    <w:qFormat/>
    <w:uiPriority w:val="0"/>
    <w:rPr>
      <w:color w:val="000000"/>
      <w:u w:val="none"/>
    </w:rPr>
  </w:style>
  <w:style w:type="paragraph" w:customStyle="1" w:styleId="15">
    <w:name w:val="签发人"/>
    <w:basedOn w:val="1"/>
    <w:qFormat/>
    <w:uiPriority w:val="0"/>
    <w:rPr>
      <w:rFonts w:eastAsia="楷体"/>
      <w:kern w:val="0"/>
      <w:sz w:val="32"/>
    </w:rPr>
  </w:style>
  <w:style w:type="paragraph" w:customStyle="1" w:styleId="16">
    <w:name w:val="Body text|1"/>
    <w:basedOn w:val="1"/>
    <w:qFormat/>
    <w:uiPriority w:val="0"/>
    <w:pPr>
      <w:widowControl w:val="0"/>
      <w:shd w:val="clear" w:color="auto" w:fill="auto"/>
      <w:spacing w:line="446" w:lineRule="auto"/>
      <w:ind w:firstLine="400"/>
    </w:pPr>
    <w:rPr>
      <w:rFonts w:ascii="宋体" w:hAnsi="宋体" w:eastAsia="宋体" w:cs="宋体"/>
      <w:color w:val="26232D"/>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市发展和改革委员会</Company>
  <Pages>1</Pages>
  <Words>0</Words>
  <Characters>0</Characters>
  <Lines>0</Lines>
  <Paragraphs>0</Paragraphs>
  <TotalTime>10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2019-03-21T07:57:00Z</dcterms:created>
  <dc:creator>Administrator</dc:creator>
  <cp:lastModifiedBy>闫婧</cp:lastModifiedBy>
  <cp:lastPrinted>2023-12-04T01:09:00Z</cp:lastPrinted>
  <dcterms:modified xsi:type="dcterms:W3CDTF">2024-03-06T00:13:53Z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1D35DEA31B81A1FA5F610265AD516DDC</vt:lpwstr>
  </property>
</Properties>
</file>