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芮城县医疗保障局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left="640" w:leftChars="305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exact"/>
        <w:ind w:left="640" w:leftChars="305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ind w:left="64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(一)履职情况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1.持续保持基金平稳运行，有力保障群众看病就医的“钱袋子”。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Style w:val="6"/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Style w:val="6"/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做好2023年医保基金的筹资征缴工作。2023年我县基本医疗保险参保人数318422人，参保覆盖率稳定在98%；全年共征缴筹集医保基金39216.21万元（职工征收医保基金10066.65万元，城乡居民征缴筹集医保基金29149.56万元）。统筹基金支付31908万元（城乡居民23495万元、城镇职工4659万元），职工个人账户支付 3754万元 </w:t>
      </w:r>
      <w:r>
        <w:rPr>
          <w:rStyle w:val="6"/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Style w:val="6"/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全面推进DRG支付方式改革，合理使用医保基金。今年以来，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全县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22家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定点医院均已实行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DRG付费。</w:t>
      </w:r>
      <w:r>
        <w:rPr>
          <w:rStyle w:val="6"/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继续推进药品、耗材带量招采工作，降低群众就医费用。截至目前，</w:t>
      </w:r>
      <w:r>
        <w:rPr>
          <w:rFonts w:hint="eastAsia" w:ascii="仿宋" w:hAnsi="仿宋" w:eastAsia="仿宋" w:cstheme="minorBidi"/>
          <w:kern w:val="2"/>
          <w:sz w:val="32"/>
          <w:szCs w:val="32"/>
          <w:highlight w:val="none"/>
          <w:lang w:val="en-US" w:eastAsia="zh-CN" w:bidi="ar-SA"/>
        </w:rPr>
        <w:t>集采品种525种（其中药品342种，耗材183种）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，集采金额达到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2151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万元，减轻群众负担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3878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万元。</w:t>
      </w:r>
      <w:r>
        <w:rPr>
          <w:rStyle w:val="6"/>
          <w:rFonts w:hint="eastAsia" w:ascii="仿宋" w:hAnsi="仿宋" w:eastAsia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四是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持续强化基金监管，保持打击欺诈骗保高压态势。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截至目前，共检查定点医药机构394家次，约谈整改389家次，拒付资金47家次，行政罚款7家次，约谈整改389家次，解除医保协议1家，共追缴违规金额163.26万元。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医保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惠民政策持续落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群众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就医负担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不断减轻。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扎实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巩固衔接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各项医保政策。坚持“参保分类资助、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基本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普惠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、大病保险倾斜、医疗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救助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托底”的医保政策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加强预防返贫致贫监测预警，确保应纳尽纳，应享尽享，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防范因病规模性返贫致贫的发生。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全年资助参保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12880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资助金额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323.87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万元；医疗救助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7958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人次，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救助金额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1020.49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落实慢性病待遇政策,不断提高保障水平。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圆满完成慢性病复审工作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。全县慢性病换发办理19152人（其中职工2701人，居民16451人），2023年新增办理慢性病1687人；慢性病待遇享受165970人次，待遇支付3491.8万元。纳入“两病”管理34681人，待遇享受22789人次，待遇支付112.24万元。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持续推进门诊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及住院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费用跨区域异地“一站式”直接结算。全年异地门诊结算9186人次，待遇支付213.22万元，异地住院结算6567人次，待遇支付5184.71万元。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持续推进门诊统筹工作。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全年享受门诊统筹802681人次，待遇支付3654.29万元。其中职工门诊统筹91352人次，待遇支付839.86万元，城乡居民门诊就诊871715人次，待遇支付3846.67万元，极大减轻</w:t>
      </w:r>
      <w:r>
        <w:rPr>
          <w:rFonts w:hint="eastAsia" w:ascii="仿宋" w:hAnsi="仿宋" w:eastAsia="仿宋"/>
          <w:sz w:val="32"/>
          <w:szCs w:val="32"/>
          <w:lang w:eastAsia="zh-CN"/>
        </w:rPr>
        <w:t>了群众看病就医负担。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强化基层医疗突出问题整改，解决群众基层就医问题。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多形式、多方式深入宣传医保政策，营造浓厚氛围，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推动医保政策“进村入户”。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加强医保政策及业务培训，提高政策落实能力。全年组织经办人员及定点机构人员开展了4次医保政策及经办业务培训，切实提升基层医保工作人员的经办能力和水平。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推进医保信息化建设，强化医保政策落地。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全县263家村级定点医疗机构已实现专机专网，所有定点医院及107家药店已完成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处方流转接口改造测试工作，目前正逐步接入处方流转平台。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（二）亮点工作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楷体简体"/>
          <w:b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方正楷体简体"/>
          <w:b/>
          <w:sz w:val="32"/>
          <w:szCs w:val="32"/>
        </w:rPr>
        <w:t>是</w:t>
      </w:r>
      <w:r>
        <w:rPr>
          <w:rFonts w:hint="eastAsia" w:ascii="仿宋" w:hAnsi="仿宋" w:eastAsia="仿宋" w:cs="方正楷体简体"/>
          <w:sz w:val="32"/>
          <w:szCs w:val="32"/>
        </w:rPr>
        <w:t>进一步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健全县乡村三级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医保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公共服务体系，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重点打造了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家村级医保服务示范点，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提升了以县城为中心、以乡镇为枢纽、以农村为哨所的医保经办服务体系功能，使群众了解医保政策、办理基本医保业务不出村、镇，极大的方便了群众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此项工作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在全市处于引领地位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城乡居民门诊统筹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待遇享受人次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90.2万人次，待遇支出3759.35万元，享受率为67.67%，位列全市第一。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城乡居民门诊慢特病待遇享受人次15.21万人次，总费用3814.67万元，基本医保支付2752.43万元，享受率为87.06%，位列全市第一；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我局拍摄的宣传片《守护幸福》视频在2023年全国医保基金监管“安全规范年”短视频大赛中获得优秀奖（山西省仅有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2个市县获得奖项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319"/>
        <w:gridCol w:w="2033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本年度制发件数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65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22"/>
        <w:gridCol w:w="2816"/>
        <w:gridCol w:w="662"/>
        <w:gridCol w:w="650"/>
        <w:gridCol w:w="650"/>
        <w:gridCol w:w="816"/>
        <w:gridCol w:w="900"/>
        <w:gridCol w:w="575"/>
        <w:gridCol w:w="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40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楷体_GB2312" w:hAnsi="宋体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（本列数据的勾稽关系为：第一项加第二项之和，等于第三项加第四项）</w:t>
            </w:r>
          </w:p>
        </w:tc>
        <w:tc>
          <w:tcPr>
            <w:tcW w:w="48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宋体" w:eastAsia="楷体_GB2312" w:cs="楷体_GB2312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宋体" w:eastAsia="楷体_GB2312" w:cs="楷体_GB2312"/>
                <w:sz w:val="20"/>
                <w:szCs w:val="2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益组织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务机构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Style w:val="7"/>
                <w:rFonts w:hint="default" w:hAnsi="宋体"/>
                <w:color w:val="auto"/>
                <w:lang w:bidi="ar"/>
              </w:rPr>
              <w:t>（区分处理的，只记这一情形，不计其他情形）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5.属于三类内部事物信息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2.没有现成信息需要另外制作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四、结转下年度继续处理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26"/>
        <w:gridCol w:w="625"/>
        <w:gridCol w:w="625"/>
        <w:gridCol w:w="626"/>
        <w:gridCol w:w="605"/>
        <w:gridCol w:w="604"/>
        <w:gridCol w:w="890"/>
        <w:gridCol w:w="450"/>
        <w:gridCol w:w="576"/>
        <w:gridCol w:w="604"/>
        <w:gridCol w:w="605"/>
        <w:gridCol w:w="605"/>
        <w:gridCol w:w="604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2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rPr>
          <w:trHeight w:val="567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rPr>
          <w:trHeight w:val="439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widowControl/>
        <w:shd w:val="clear" w:color="auto" w:fill="FFFFFF"/>
        <w:spacing w:line="600" w:lineRule="exact"/>
        <w:ind w:firstLine="646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存在的问题：</w:t>
      </w:r>
    </w:p>
    <w:p>
      <w:pPr>
        <w:widowControl/>
        <w:shd w:val="clear" w:color="auto" w:fill="FFFFFF"/>
        <w:spacing w:line="600" w:lineRule="exact"/>
        <w:ind w:firstLine="646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信息公开的内容还不够全面不够系统；二是信息公开更新还不够及时主动。</w:t>
      </w:r>
    </w:p>
    <w:p>
      <w:pPr>
        <w:widowControl/>
        <w:shd w:val="clear" w:color="auto" w:fill="FFFFFF"/>
        <w:spacing w:line="600" w:lineRule="exact"/>
        <w:ind w:firstLine="646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一步改进方向：一是认真组织学习《中华人民共和国政府信息公开条例》，做到能公尽公，推行办公透明化；二是强化宣传梳理完善医保相关政策规范性文件，积极进行公开并及时更新，持续提升群众对医保政策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知晓率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和满意度。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ind w:firstLine="4640" w:firstLineChars="145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芮城县医疗保障局</w:t>
      </w:r>
    </w:p>
    <w:p>
      <w:pPr>
        <w:widowControl/>
        <w:shd w:val="clear" w:color="auto" w:fill="FFFFFF"/>
        <w:spacing w:line="600" w:lineRule="exact"/>
        <w:ind w:firstLine="4640" w:firstLineChars="145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年1月2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72AF31D4"/>
    <w:rsid w:val="0BC8771C"/>
    <w:rsid w:val="10412047"/>
    <w:rsid w:val="1DD60B3D"/>
    <w:rsid w:val="617A0EC7"/>
    <w:rsid w:val="62AB0346"/>
    <w:rsid w:val="6BD644B8"/>
    <w:rsid w:val="72A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No Spacing"/>
    <w:autoRedefine/>
    <w:qFormat/>
    <w:uiPriority w:val="1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customStyle="1" w:styleId="6">
    <w:name w:val="NormalCharacter"/>
    <w:autoRedefine/>
    <w:qFormat/>
    <w:uiPriority w:val="0"/>
  </w:style>
  <w:style w:type="character" w:customStyle="1" w:styleId="7">
    <w:name w:val="font01"/>
    <w:basedOn w:val="4"/>
    <w:autoRedefine/>
    <w:qFormat/>
    <w:uiPriority w:val="0"/>
    <w:rPr>
      <w:rFonts w:hint="eastAsia" w:ascii="楷体_GB2312" w:eastAsia="楷体_GB2312" w:cs="楷体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2024-01-24T09:04:00Z</dcterms:created>
  <dc:creator>Reine</dc:creator>
  <cp:lastModifiedBy>闫婧</cp:lastModifiedBy>
  <cp:lastPrinted>2024-01-25T07:45:00Z</cp:lastPrinted>
  <dcterms:modified xsi:type="dcterms:W3CDTF">2024-01-26T10:06:30Z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433C150EF0514E30A7A3D2E975F18FD0_13</vt:lpwstr>
  </property>
</Properties>
</file>