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0" w:firstLineChars="0"/>
        <w:jc w:val="center"/>
        <w:textAlignment w:val="auto"/>
        <w:outlineLvl w:val="9"/>
        <w:rPr>
          <w:rFonts w:hint="default" w:ascii="Times New Roman" w:hAnsi="Times New Roman" w:eastAsia="微软雅黑" w:cs="Times New Roman"/>
          <w:color w:val="000000"/>
          <w:spacing w:val="0"/>
          <w:sz w:val="44"/>
          <w:szCs w:val="44"/>
        </w:rPr>
      </w:pPr>
      <w:r>
        <w:rPr>
          <w:rFonts w:hint="eastAsia" w:eastAsia="微软雅黑" w:cs="Times New Roman"/>
          <w:color w:val="000000"/>
          <w:spacing w:val="0"/>
          <w:sz w:val="44"/>
          <w:szCs w:val="44"/>
          <w:lang w:eastAsia="zh-CN"/>
        </w:rPr>
        <w:t>风陵渡镇</w:t>
      </w:r>
      <w:r>
        <w:rPr>
          <w:rFonts w:hint="default" w:ascii="Times New Roman" w:hAnsi="Times New Roman" w:eastAsia="微软雅黑" w:cs="Times New Roman"/>
          <w:color w:val="000000"/>
          <w:spacing w:val="0"/>
          <w:sz w:val="44"/>
          <w:szCs w:val="44"/>
        </w:rPr>
        <w:t>人民政府</w:t>
      </w:r>
    </w:p>
    <w:p>
      <w:pPr>
        <w:pStyle w:val="3"/>
        <w:ind w:left="0" w:leftChars="0" w:right="0" w:rightChars="0" w:firstLine="0" w:firstLineChars="0"/>
        <w:jc w:val="center"/>
        <w:rPr>
          <w:rFonts w:hint="default"/>
          <w:sz w:val="44"/>
          <w:szCs w:val="44"/>
          <w:lang w:val="en-US" w:eastAsia="zh-CN"/>
        </w:rPr>
      </w:pPr>
      <w:r>
        <w:rPr>
          <w:rFonts w:hint="eastAsia" w:ascii="微软雅黑" w:hAnsi="微软雅黑" w:eastAsia="微软雅黑" w:cs="微软雅黑"/>
          <w:color w:val="000000"/>
          <w:spacing w:val="0"/>
          <w:sz w:val="44"/>
          <w:szCs w:val="44"/>
        </w:rPr>
        <w:t>202</w:t>
      </w:r>
      <w:r>
        <w:rPr>
          <w:rFonts w:hint="eastAsia" w:ascii="微软雅黑" w:hAnsi="微软雅黑" w:eastAsia="微软雅黑" w:cs="微软雅黑"/>
          <w:color w:val="000000"/>
          <w:spacing w:val="0"/>
          <w:sz w:val="44"/>
          <w:szCs w:val="44"/>
          <w:lang w:val="en-US" w:eastAsia="zh-CN"/>
        </w:rPr>
        <w:t>3</w:t>
      </w:r>
      <w:r>
        <w:rPr>
          <w:rFonts w:hint="eastAsia" w:ascii="微软雅黑" w:hAnsi="微软雅黑" w:eastAsia="微软雅黑" w:cs="微软雅黑"/>
          <w:color w:val="000000"/>
          <w:spacing w:val="0"/>
          <w:sz w:val="44"/>
          <w:szCs w:val="44"/>
        </w:rPr>
        <w:t>年政府信息公开工作年度报告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kern w:val="0"/>
          <w:szCs w:val="32"/>
        </w:rPr>
      </w:pPr>
      <w:r>
        <w:rPr>
          <w:rFonts w:hint="eastAsia" w:ascii="仿宋_GB2312" w:hAnsi="仿宋_GB2312" w:cs="仿宋_GB2312"/>
          <w:kern w:val="0"/>
          <w:szCs w:val="32"/>
        </w:rPr>
        <w:t>本报告由总体情况、主动公开政府信息情况、收到和处理政府信息公开申请情况、政府信息公开行政复议及行政诉讼情况、存在的主要问题及改进情况、其他需要报告的事项六部分组成，所列数据统计时限为</w:t>
      </w:r>
      <w:r>
        <w:rPr>
          <w:rFonts w:ascii="仿宋_GB2312" w:hAnsi="仿宋_GB2312" w:cs="仿宋_GB2312"/>
          <w:kern w:val="0"/>
          <w:szCs w:val="32"/>
        </w:rPr>
        <w:t>202</w:t>
      </w:r>
      <w:r>
        <w:rPr>
          <w:rFonts w:hint="eastAsia" w:ascii="仿宋_GB2312" w:hAnsi="仿宋_GB2312" w:cs="仿宋_GB2312"/>
          <w:kern w:val="0"/>
          <w:szCs w:val="32"/>
          <w:lang w:val="en-US" w:eastAsia="zh-CN"/>
        </w:rPr>
        <w:t>3</w:t>
      </w:r>
      <w:r>
        <w:rPr>
          <w:rFonts w:hint="eastAsia" w:ascii="仿宋_GB2312" w:hAnsi="仿宋_GB2312" w:cs="仿宋_GB2312"/>
          <w:kern w:val="0"/>
          <w:szCs w:val="32"/>
        </w:rPr>
        <w:t>年1月1日至</w:t>
      </w:r>
      <w:r>
        <w:rPr>
          <w:rFonts w:ascii="仿宋_GB2312" w:hAnsi="仿宋_GB2312" w:cs="仿宋_GB2312"/>
          <w:kern w:val="0"/>
          <w:szCs w:val="32"/>
        </w:rPr>
        <w:t>202</w:t>
      </w:r>
      <w:r>
        <w:rPr>
          <w:rFonts w:hint="eastAsia" w:ascii="仿宋_GB2312" w:hAnsi="仿宋_GB2312" w:cs="仿宋_GB2312"/>
          <w:kern w:val="0"/>
          <w:szCs w:val="32"/>
          <w:lang w:val="en-US" w:eastAsia="zh-CN"/>
        </w:rPr>
        <w:t>3</w:t>
      </w:r>
      <w:r>
        <w:rPr>
          <w:rFonts w:hint="eastAsia" w:ascii="仿宋_GB2312" w:hAnsi="仿宋_GB2312" w:cs="仿宋_GB2312"/>
          <w:kern w:val="0"/>
          <w:szCs w:val="32"/>
        </w:rPr>
        <w:t>年12月31日。本报告的电子版可在芮城县人民政府门户网站（www.rcx.gov.cn）下载。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Cs w:val="32"/>
        </w:rPr>
      </w:pPr>
      <w:r>
        <w:rPr>
          <w:rFonts w:hint="eastAsia" w:ascii="黑体" w:hAnsi="黑体" w:eastAsia="黑体" w:cs="黑体"/>
          <w:kern w:val="0"/>
          <w:szCs w:val="32"/>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kern w:val="0"/>
          <w:szCs w:val="32"/>
        </w:rPr>
      </w:pPr>
      <w:r>
        <w:rPr>
          <w:rFonts w:hint="eastAsia" w:ascii="仿宋_GB2312" w:hAnsi="仿宋_GB2312" w:cs="仿宋_GB2312"/>
          <w:kern w:val="0"/>
          <w:szCs w:val="32"/>
        </w:rPr>
        <w:t>2023年，</w:t>
      </w:r>
      <w:r>
        <w:rPr>
          <w:rFonts w:hint="eastAsia" w:ascii="仿宋_GB2312" w:hAnsi="仿宋_GB2312" w:cs="仿宋_GB2312"/>
          <w:kern w:val="0"/>
          <w:szCs w:val="32"/>
          <w:lang w:eastAsia="zh-CN"/>
        </w:rPr>
        <w:t>风陵渡镇坚持</w:t>
      </w:r>
      <w:r>
        <w:rPr>
          <w:rFonts w:hint="eastAsia" w:ascii="仿宋_GB2312" w:hAnsi="仿宋_GB2312" w:cs="仿宋_GB2312"/>
          <w:kern w:val="0"/>
          <w:szCs w:val="32"/>
        </w:rPr>
        <w:t>以习近平新时代中国特色社会主义思想为指导，</w:t>
      </w:r>
      <w:r>
        <w:rPr>
          <w:rFonts w:hint="eastAsia" w:ascii="仿宋_GB2312" w:hAnsi="仿宋_GB2312" w:cs="仿宋_GB2312"/>
          <w:kern w:val="0"/>
          <w:szCs w:val="32"/>
          <w:lang w:eastAsia="zh-CN"/>
        </w:rPr>
        <w:t>深入学习贯彻党的二十大精神和习近平总书记在运城考察时的重要讲话重要指示精神，聚焦县委、县政府中心工作和群众需求，持续深化政府信息公开工作，全力</w:t>
      </w:r>
      <w:r>
        <w:rPr>
          <w:rFonts w:hint="eastAsia" w:ascii="仿宋_GB2312" w:hAnsi="仿宋_GB2312" w:cs="仿宋_GB2312"/>
          <w:kern w:val="0"/>
          <w:szCs w:val="32"/>
        </w:rPr>
        <w:t>保障人民群众知情权、参与权、表达权和监督权，</w:t>
      </w:r>
      <w:r>
        <w:rPr>
          <w:rFonts w:hint="eastAsia" w:ascii="仿宋_GB2312" w:hAnsi="仿宋_GB2312" w:cs="仿宋_GB2312"/>
          <w:kern w:val="0"/>
          <w:szCs w:val="32"/>
          <w:lang w:eastAsia="zh-CN"/>
        </w:rPr>
        <w:t>有力助推</w:t>
      </w:r>
      <w:r>
        <w:rPr>
          <w:rFonts w:hint="eastAsia" w:ascii="仿宋_GB2312" w:hAnsi="仿宋_GB2312" w:cs="仿宋_GB2312"/>
          <w:kern w:val="0"/>
          <w:szCs w:val="32"/>
        </w:rPr>
        <w:t>法治政府、创新政府、廉洁政府和服务型政府建设。</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楷体" w:hAnsi="楷体" w:eastAsia="楷体" w:cs="楷体"/>
          <w:color w:val="auto"/>
          <w:kern w:val="0"/>
          <w:sz w:val="32"/>
          <w:szCs w:val="32"/>
          <w:lang w:val="en-US" w:eastAsia="zh-CN"/>
        </w:rPr>
        <w:t>主动公开情况。</w:t>
      </w:r>
      <w:r>
        <w:rPr>
          <w:rFonts w:hint="eastAsia" w:ascii="仿宋_GB2312" w:hAnsi="仿宋_GB2312" w:eastAsia="仿宋_GB2312" w:cs="仿宋_GB2312"/>
          <w:color w:val="auto"/>
          <w:kern w:val="0"/>
          <w:sz w:val="32"/>
          <w:szCs w:val="32"/>
          <w:lang w:val="en-US" w:eastAsia="zh-CN"/>
        </w:rPr>
        <w:t>按照“应公开、尽公开”的要求，20</w:t>
      </w:r>
      <w:r>
        <w:rPr>
          <w:rFonts w:hint="eastAsia" w:ascii="仿宋_GB2312" w:hAnsi="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lang w:val="en-US" w:eastAsia="zh-CN"/>
        </w:rPr>
        <w:t>年1月1日至202</w:t>
      </w:r>
      <w:r>
        <w:rPr>
          <w:rFonts w:hint="eastAsia" w:ascii="仿宋_GB2312" w:hAnsi="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en-US" w:eastAsia="zh-CN"/>
        </w:rPr>
        <w:t>年12月31日，风陵渡镇主要通过县人民政府网公示、公告等栏目，以网上公开发布的形式，共主动发布政府信息</w:t>
      </w:r>
      <w:r>
        <w:rPr>
          <w:rFonts w:hint="eastAsia" w:ascii="仿宋_GB2312" w:hAnsi="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lang w:val="en-US" w:eastAsia="zh-CN"/>
        </w:rPr>
        <w:t>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kern w:val="0"/>
          <w:szCs w:val="32"/>
        </w:rPr>
      </w:pPr>
      <w:r>
        <w:rPr>
          <w:rFonts w:hint="eastAsia" w:ascii="楷体" w:hAnsi="楷体" w:eastAsia="楷体" w:cs="楷体"/>
          <w:color w:val="auto"/>
          <w:kern w:val="0"/>
          <w:sz w:val="32"/>
          <w:szCs w:val="32"/>
          <w:lang w:val="en-US" w:eastAsia="zh-CN"/>
        </w:rPr>
        <w:t>（二）依申请公开。</w:t>
      </w:r>
      <w:r>
        <w:rPr>
          <w:rFonts w:ascii="仿宋_GB2312" w:hAnsi="仿宋_GB2312" w:cs="仿宋_GB2312"/>
          <w:kern w:val="0"/>
          <w:szCs w:val="32"/>
        </w:rPr>
        <w:t>202</w:t>
      </w:r>
      <w:r>
        <w:rPr>
          <w:rFonts w:hint="eastAsia" w:ascii="仿宋_GB2312" w:hAnsi="仿宋_GB2312" w:cs="仿宋_GB2312"/>
          <w:kern w:val="0"/>
          <w:szCs w:val="32"/>
          <w:lang w:val="en-US" w:eastAsia="zh-CN"/>
        </w:rPr>
        <w:t>3</w:t>
      </w:r>
      <w:r>
        <w:rPr>
          <w:rFonts w:hint="eastAsia" w:ascii="仿宋_GB2312" w:hAnsi="仿宋_GB2312" w:cs="仿宋_GB2312"/>
          <w:kern w:val="0"/>
          <w:szCs w:val="32"/>
        </w:rPr>
        <w:t>年，</w:t>
      </w:r>
      <w:r>
        <w:rPr>
          <w:rFonts w:hint="eastAsia" w:ascii="仿宋_GB2312" w:hAnsi="仿宋_GB2312" w:cs="仿宋_GB2312"/>
          <w:kern w:val="0"/>
          <w:szCs w:val="32"/>
          <w:lang w:eastAsia="zh-CN"/>
        </w:rPr>
        <w:t>风陵渡</w:t>
      </w:r>
      <w:r>
        <w:rPr>
          <w:rFonts w:hint="eastAsia" w:ascii="仿宋_GB2312" w:hAnsi="仿宋_GB2312" w:cs="仿宋_GB2312"/>
          <w:kern w:val="0"/>
          <w:szCs w:val="32"/>
        </w:rPr>
        <w:t>镇未收到依申请公开</w:t>
      </w:r>
      <w:r>
        <w:rPr>
          <w:rFonts w:hint="eastAsia" w:ascii="仿宋_GB2312" w:hAnsi="仿宋_GB2312" w:cs="仿宋_GB2312"/>
          <w:kern w:val="0"/>
          <w:szCs w:val="32"/>
          <w:lang w:eastAsia="zh-CN"/>
        </w:rPr>
        <w:t>文</w:t>
      </w:r>
      <w:r>
        <w:rPr>
          <w:rFonts w:hint="eastAsia" w:ascii="仿宋_GB2312" w:hAnsi="仿宋_GB2312" w:cs="仿宋_GB2312"/>
          <w:kern w:val="0"/>
          <w:szCs w:val="32"/>
        </w:rPr>
        <w:t>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color w:val="auto"/>
          <w:kern w:val="0"/>
          <w:sz w:val="32"/>
          <w:szCs w:val="32"/>
          <w:lang w:val="en-US" w:eastAsia="zh-CN"/>
        </w:rPr>
        <w:t>（三）政府信息管理。</w:t>
      </w:r>
      <w:r>
        <w:rPr>
          <w:rFonts w:hint="eastAsia" w:ascii="仿宋_GB2312" w:hAnsi="仿宋_GB2312" w:cs="仿宋_GB2312"/>
          <w:kern w:val="0"/>
          <w:szCs w:val="32"/>
          <w:lang w:eastAsia="zh-CN"/>
        </w:rPr>
        <w:t>按照《中华人民共和国政府信息公开条例》，</w:t>
      </w:r>
      <w:r>
        <w:rPr>
          <w:rFonts w:hint="eastAsia" w:ascii="仿宋_GB2312" w:hAnsi="仿宋_GB2312" w:cs="仿宋_GB2312"/>
          <w:kern w:val="0"/>
          <w:szCs w:val="32"/>
          <w:lang w:val="en-US" w:eastAsia="zh-CN"/>
        </w:rPr>
        <w:t>风陵渡镇</w:t>
      </w:r>
      <w:r>
        <w:rPr>
          <w:rFonts w:hint="eastAsia" w:ascii="仿宋_GB2312" w:hAnsi="仿宋_GB2312" w:cs="仿宋_GB2312"/>
          <w:kern w:val="0"/>
          <w:szCs w:val="32"/>
        </w:rPr>
        <w:t>始终将政府信息公开作为一项重要工作任务，</w:t>
      </w:r>
      <w:r>
        <w:rPr>
          <w:rFonts w:hint="eastAsia" w:ascii="仿宋_GB2312" w:hAnsi="仿宋_GB2312" w:cs="仿宋_GB2312"/>
          <w:kern w:val="0"/>
          <w:szCs w:val="32"/>
          <w:lang w:val="en-US" w:eastAsia="zh-CN"/>
        </w:rPr>
        <w:t>严格执行信息保密审查制度，坚持先审后发原则，</w:t>
      </w:r>
      <w:r>
        <w:rPr>
          <w:rFonts w:hint="eastAsia" w:ascii="仿宋_GB2312" w:hAnsi="仿宋_GB2312" w:eastAsia="仿宋_GB2312" w:cs="仿宋_GB2312"/>
          <w:color w:val="auto"/>
          <w:kern w:val="0"/>
          <w:sz w:val="32"/>
          <w:szCs w:val="32"/>
          <w:lang w:val="en-US" w:eastAsia="zh-CN"/>
        </w:rPr>
        <w:t>成立领导小组，安排专人负责日常公开工作，明确信息公开流程，扎实推进政府信息公开工作。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kern w:val="0"/>
          <w:szCs w:val="32"/>
        </w:rPr>
      </w:pPr>
      <w:r>
        <w:rPr>
          <w:rFonts w:hint="eastAsia" w:ascii="楷体" w:hAnsi="楷体" w:eastAsia="楷体" w:cs="楷体"/>
          <w:color w:val="auto"/>
          <w:kern w:val="0"/>
          <w:sz w:val="32"/>
          <w:szCs w:val="32"/>
          <w:lang w:val="en-US" w:eastAsia="zh-CN"/>
        </w:rPr>
        <w:t>（四）政府信息公开平台建设。</w:t>
      </w:r>
      <w:r>
        <w:rPr>
          <w:rFonts w:hint="eastAsia" w:ascii="仿宋_GB2312" w:hAnsi="仿宋_GB2312" w:cs="仿宋_GB2312"/>
          <w:color w:val="auto"/>
          <w:kern w:val="0"/>
          <w:sz w:val="32"/>
          <w:szCs w:val="32"/>
          <w:lang w:val="en-US" w:eastAsia="zh-CN"/>
        </w:rPr>
        <w:t>把政府网站作为政务公开的第一平台，</w:t>
      </w:r>
      <w:r>
        <w:rPr>
          <w:rFonts w:hint="eastAsia" w:ascii="仿宋_GB2312" w:hAnsi="仿宋_GB2312" w:cs="仿宋_GB2312"/>
          <w:kern w:val="0"/>
          <w:szCs w:val="32"/>
        </w:rPr>
        <w:t>按照要求</w:t>
      </w:r>
      <w:r>
        <w:rPr>
          <w:rFonts w:hint="eastAsia" w:ascii="仿宋_GB2312" w:hAnsi="仿宋_GB2312" w:cs="仿宋_GB2312"/>
          <w:kern w:val="0"/>
          <w:szCs w:val="32"/>
          <w:lang w:eastAsia="zh-CN"/>
        </w:rPr>
        <w:t>及时</w:t>
      </w:r>
      <w:r>
        <w:rPr>
          <w:rFonts w:hint="eastAsia" w:ascii="仿宋_GB2312" w:hAnsi="仿宋_GB2312" w:cs="仿宋_GB2312"/>
          <w:kern w:val="0"/>
          <w:szCs w:val="32"/>
        </w:rPr>
        <w:t>公开</w:t>
      </w:r>
      <w:r>
        <w:rPr>
          <w:rFonts w:hint="eastAsia" w:ascii="仿宋_GB2312" w:hAnsi="仿宋_GB2312" w:cs="仿宋_GB2312"/>
          <w:kern w:val="0"/>
          <w:szCs w:val="32"/>
          <w:lang w:eastAsia="zh-CN"/>
        </w:rPr>
        <w:t>政府信息，同时，</w:t>
      </w:r>
      <w:r>
        <w:rPr>
          <w:rFonts w:hint="eastAsia" w:ascii="仿宋_GB2312" w:hAnsi="仿宋_GB2312" w:eastAsia="仿宋_GB2312" w:cs="仿宋_GB2312"/>
          <w:color w:val="auto"/>
          <w:kern w:val="0"/>
          <w:sz w:val="32"/>
          <w:szCs w:val="32"/>
          <w:lang w:val="en-US" w:eastAsia="zh-CN"/>
        </w:rPr>
        <w:t>拓宽公开渠道，建设线下政务公开专栏，及时公开民生事项</w:t>
      </w:r>
      <w:r>
        <w:rPr>
          <w:rFonts w:hint="eastAsia" w:ascii="仿宋_GB2312" w:hAnsi="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楷体" w:hAnsi="楷体" w:eastAsia="楷体" w:cs="楷体"/>
          <w:color w:val="auto"/>
          <w:kern w:val="0"/>
          <w:sz w:val="32"/>
          <w:szCs w:val="32"/>
          <w:lang w:val="en-US" w:eastAsia="zh-CN"/>
        </w:rPr>
        <w:t>（五）监督保障。</w:t>
      </w:r>
      <w:r>
        <w:rPr>
          <w:rFonts w:hint="eastAsia" w:ascii="仿宋_GB2312" w:hAnsi="仿宋_GB2312" w:eastAsia="仿宋_GB2312" w:cs="仿宋_GB2312"/>
          <w:color w:val="auto"/>
          <w:kern w:val="0"/>
          <w:sz w:val="32"/>
          <w:szCs w:val="32"/>
          <w:lang w:val="en-US" w:eastAsia="zh-CN"/>
        </w:rPr>
        <w:t>将政务公开作为日常工作的考核内容，发挥内部自我监督和外部群众监督的作用，定期开展自查工作，确保政府信息公开工作按工作流程有效运作，及时更新调整，扎实推进政务公开工作。</w:t>
      </w:r>
    </w:p>
    <w:p>
      <w:pPr>
        <w:spacing w:line="6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二、主动公开政府信息情况</w:t>
      </w:r>
    </w:p>
    <w:tbl>
      <w:tblPr>
        <w:tblStyle w:val="4"/>
        <w:tblW w:w="0" w:type="auto"/>
        <w:jc w:val="center"/>
        <w:tblLayout w:type="fixed"/>
        <w:tblCellMar>
          <w:top w:w="0" w:type="dxa"/>
          <w:left w:w="108" w:type="dxa"/>
          <w:bottom w:w="0" w:type="dxa"/>
          <w:right w:w="108" w:type="dxa"/>
        </w:tblCellMar>
      </w:tblPr>
      <w:tblGrid>
        <w:gridCol w:w="2319"/>
        <w:gridCol w:w="2319"/>
        <w:gridCol w:w="2033"/>
        <w:gridCol w:w="2033"/>
      </w:tblGrid>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第二十条第（一）项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信息内容</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本年度制发件数</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本年废止件数</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现行有效件数</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规章</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行政规范性文件</w:t>
            </w:r>
          </w:p>
        </w:tc>
        <w:tc>
          <w:tcPr>
            <w:tcW w:w="23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第二十条第（五）项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信息内容</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本年处理决定数量</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591"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第二十条第（六）项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信息内容</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本年处理决定数量</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行政处罚</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行政强制</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588" w:hRule="atLeast"/>
          <w:jc w:val="center"/>
        </w:trPr>
        <w:tc>
          <w:tcPr>
            <w:tcW w:w="870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第二十条第（八）项</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信息内容</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本年收费金额（单位：万元）</w:t>
            </w:r>
          </w:p>
        </w:tc>
      </w:tr>
      <w:tr>
        <w:tblPrEx>
          <w:tblCellMar>
            <w:top w:w="0" w:type="dxa"/>
            <w:left w:w="108" w:type="dxa"/>
            <w:bottom w:w="0" w:type="dxa"/>
            <w:right w:w="108" w:type="dxa"/>
          </w:tblCellMar>
        </w:tblPrEx>
        <w:trPr>
          <w:trHeight w:val="588" w:hRule="atLeast"/>
          <w:jc w:val="center"/>
        </w:trPr>
        <w:tc>
          <w:tcPr>
            <w:tcW w:w="23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行政事业性收费</w:t>
            </w:r>
          </w:p>
        </w:tc>
        <w:tc>
          <w:tcPr>
            <w:tcW w:w="638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widowControl/>
        <w:spacing w:line="65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tbl>
      <w:tblPr>
        <w:tblStyle w:val="4"/>
        <w:tblW w:w="0" w:type="auto"/>
        <w:jc w:val="center"/>
        <w:tblLayout w:type="fixed"/>
        <w:tblCellMar>
          <w:top w:w="0" w:type="dxa"/>
          <w:left w:w="108" w:type="dxa"/>
          <w:bottom w:w="0" w:type="dxa"/>
          <w:right w:w="108" w:type="dxa"/>
        </w:tblCellMar>
      </w:tblPr>
      <w:tblGrid>
        <w:gridCol w:w="550"/>
        <w:gridCol w:w="722"/>
        <w:gridCol w:w="2816"/>
        <w:gridCol w:w="662"/>
        <w:gridCol w:w="650"/>
        <w:gridCol w:w="650"/>
        <w:gridCol w:w="816"/>
        <w:gridCol w:w="900"/>
        <w:gridCol w:w="575"/>
        <w:gridCol w:w="570"/>
      </w:tblGrid>
      <w:tr>
        <w:tblPrEx>
          <w:tblCellMar>
            <w:top w:w="0" w:type="dxa"/>
            <w:left w:w="108" w:type="dxa"/>
            <w:bottom w:w="0" w:type="dxa"/>
            <w:right w:w="108" w:type="dxa"/>
          </w:tblCellMar>
        </w:tblPrEx>
        <w:trPr>
          <w:trHeight w:val="258" w:hRule="atLeast"/>
          <w:jc w:val="center"/>
        </w:trPr>
        <w:tc>
          <w:tcPr>
            <w:tcW w:w="408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楷体_GB2312" w:hAnsi="宋体" w:eastAsia="楷体_GB2312" w:cs="楷体_GB2312"/>
                <w:sz w:val="20"/>
                <w:szCs w:val="20"/>
              </w:rPr>
            </w:pPr>
            <w:r>
              <w:rPr>
                <w:rFonts w:hint="eastAsia" w:ascii="楷体_GB2312" w:hAnsi="宋体" w:eastAsia="楷体_GB2312" w:cs="楷体_GB2312"/>
                <w:kern w:val="0"/>
                <w:sz w:val="20"/>
                <w:szCs w:val="20"/>
                <w:lang w:bidi="ar"/>
              </w:rPr>
              <w:t>（本列数据的勾稽关系为：第一项加第二项之和，等于第三项加第四项）</w:t>
            </w:r>
          </w:p>
        </w:tc>
        <w:tc>
          <w:tcPr>
            <w:tcW w:w="482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申请人情况</w:t>
            </w:r>
          </w:p>
        </w:tc>
      </w:tr>
      <w:tr>
        <w:tblPrEx>
          <w:tblCellMar>
            <w:top w:w="0" w:type="dxa"/>
            <w:left w:w="108" w:type="dxa"/>
            <w:bottom w:w="0" w:type="dxa"/>
            <w:right w:w="108" w:type="dxa"/>
          </w:tblCellMar>
        </w:tblPrEx>
        <w:trPr>
          <w:trHeight w:val="244" w:hRule="atLeast"/>
          <w:jc w:val="center"/>
        </w:trPr>
        <w:tc>
          <w:tcPr>
            <w:tcW w:w="408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楷体_GB2312" w:hAnsi="宋体" w:eastAsia="楷体_GB2312" w:cs="楷体_GB2312"/>
                <w:sz w:val="20"/>
                <w:szCs w:val="20"/>
              </w:rPr>
            </w:pPr>
          </w:p>
        </w:tc>
        <w:tc>
          <w:tcPr>
            <w:tcW w:w="6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自然人</w:t>
            </w:r>
          </w:p>
        </w:tc>
        <w:tc>
          <w:tcPr>
            <w:tcW w:w="359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法人或其他组织</w:t>
            </w:r>
          </w:p>
        </w:tc>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总计</w:t>
            </w:r>
          </w:p>
        </w:tc>
      </w:tr>
      <w:tr>
        <w:tblPrEx>
          <w:tblCellMar>
            <w:top w:w="0" w:type="dxa"/>
            <w:left w:w="108" w:type="dxa"/>
            <w:bottom w:w="0" w:type="dxa"/>
            <w:right w:w="108" w:type="dxa"/>
          </w:tblCellMar>
        </w:tblPrEx>
        <w:trPr>
          <w:trHeight w:val="663" w:hRule="atLeast"/>
          <w:jc w:val="center"/>
        </w:trPr>
        <w:tc>
          <w:tcPr>
            <w:tcW w:w="408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楷体_GB2312" w:hAnsi="宋体" w:eastAsia="楷体_GB2312" w:cs="楷体_GB2312"/>
                <w:sz w:val="20"/>
                <w:szCs w:val="20"/>
              </w:rPr>
            </w:pPr>
          </w:p>
        </w:tc>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商业</w:t>
            </w:r>
            <w:r>
              <w:rPr>
                <w:rFonts w:hint="eastAsia" w:ascii="宋体" w:hAnsi="宋体" w:cs="宋体"/>
                <w:kern w:val="0"/>
                <w:sz w:val="20"/>
                <w:szCs w:val="20"/>
                <w:lang w:bidi="ar"/>
              </w:rPr>
              <w:br w:type="textWrapping"/>
            </w:r>
            <w:r>
              <w:rPr>
                <w:rFonts w:hint="eastAsia" w:ascii="宋体" w:hAnsi="宋体" w:cs="宋体"/>
                <w:kern w:val="0"/>
                <w:sz w:val="20"/>
                <w:szCs w:val="20"/>
                <w:lang w:bidi="ar"/>
              </w:rPr>
              <w:t>企业</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科研</w:t>
            </w:r>
            <w:r>
              <w:rPr>
                <w:rFonts w:hint="eastAsia" w:ascii="宋体" w:hAnsi="宋体" w:cs="宋体"/>
                <w:kern w:val="0"/>
                <w:sz w:val="20"/>
                <w:szCs w:val="20"/>
                <w:lang w:bidi="ar"/>
              </w:rPr>
              <w:br w:type="textWrapping"/>
            </w:r>
            <w:r>
              <w:rPr>
                <w:rFonts w:hint="eastAsia" w:ascii="宋体" w:hAnsi="宋体" w:cs="宋体"/>
                <w:kern w:val="0"/>
                <w:sz w:val="20"/>
                <w:szCs w:val="20"/>
                <w:lang w:bidi="ar"/>
              </w:rPr>
              <w:t>机构</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社会公</w:t>
            </w:r>
            <w:r>
              <w:rPr>
                <w:rFonts w:hint="eastAsia" w:ascii="宋体" w:hAnsi="宋体" w:cs="宋体"/>
                <w:kern w:val="0"/>
                <w:sz w:val="20"/>
                <w:szCs w:val="20"/>
                <w:lang w:bidi="ar"/>
              </w:rPr>
              <w:br w:type="textWrapping"/>
            </w:r>
            <w:r>
              <w:rPr>
                <w:rFonts w:hint="eastAsia" w:ascii="宋体" w:hAnsi="宋体" w:cs="宋体"/>
                <w:kern w:val="0"/>
                <w:sz w:val="20"/>
                <w:szCs w:val="20"/>
                <w:lang w:bidi="ar"/>
              </w:rPr>
              <w:t>益组织</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法律服</w:t>
            </w:r>
            <w:r>
              <w:rPr>
                <w:rFonts w:hint="eastAsia" w:ascii="宋体" w:hAnsi="宋体" w:cs="宋体"/>
                <w:kern w:val="0"/>
                <w:sz w:val="20"/>
                <w:szCs w:val="20"/>
                <w:lang w:bidi="ar"/>
              </w:rPr>
              <w:br w:type="textWrapping"/>
            </w:r>
            <w:r>
              <w:rPr>
                <w:rFonts w:hint="eastAsia" w:ascii="宋体" w:hAnsi="宋体" w:cs="宋体"/>
                <w:kern w:val="0"/>
                <w:sz w:val="20"/>
                <w:szCs w:val="20"/>
                <w:lang w:bidi="ar"/>
              </w:rPr>
              <w:t>务机构</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其他</w:t>
            </w:r>
          </w:p>
        </w:tc>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r>
      <w:tr>
        <w:tblPrEx>
          <w:tblCellMar>
            <w:top w:w="0" w:type="dxa"/>
            <w:left w:w="108" w:type="dxa"/>
            <w:bottom w:w="0" w:type="dxa"/>
            <w:right w:w="108" w:type="dxa"/>
          </w:tblCellMar>
        </w:tblPrEx>
        <w:trPr>
          <w:trHeight w:val="398" w:hRule="atLeast"/>
          <w:jc w:val="center"/>
        </w:trPr>
        <w:tc>
          <w:tcPr>
            <w:tcW w:w="40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一、本年新收政府信息公开申请数量</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355" w:hRule="atLeast"/>
          <w:jc w:val="center"/>
        </w:trPr>
        <w:tc>
          <w:tcPr>
            <w:tcW w:w="40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二、上年结转政府信息公开申请数量</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26" w:hRule="atLeast"/>
          <w:jc w:val="center"/>
        </w:trPr>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三、本年度办理结果</w:t>
            </w:r>
          </w:p>
        </w:tc>
        <w:tc>
          <w:tcPr>
            <w:tcW w:w="35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（一）予以公开</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68"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35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（二）部分公开</w:t>
            </w:r>
            <w:r>
              <w:rPr>
                <w:rStyle w:val="6"/>
                <w:rFonts w:hint="default" w:hAnsi="宋体"/>
                <w:color w:val="auto"/>
                <w:lang w:bidi="ar"/>
              </w:rPr>
              <w:t>（区分处理的，只记这一情形，不计其他情形）</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eastAsia="仿宋_GB2312" w:cs="宋体"/>
                <w:sz w:val="20"/>
                <w:szCs w:val="20"/>
                <w:lang w:val="en-US" w:eastAsia="zh-C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（三）不予公开</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1.属于国家秘密</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2.其他法律行政法规禁止公开</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3.危及“三安全一稳定”</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4.保护第三方合法权益</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5.属于三类内部事物信息</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6.属于四类过程性信息</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7.属于行政执法案卷</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8.属于行政查询事项</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（四）无法提供</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1.本机关不掌握相关政府信息</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2.没有现成信息需要另外制作</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3.补正后申请内容仍不明确</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（五）不予处理</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1.信访举报投诉类申请</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2.重复申请</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3.要求提供公开出版物</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4.无正当理由大量反复申请</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523"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5.要求行政机关确认或重新出具已获取信息</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774"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（六）其他处理</w:t>
            </w: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1.申请人无正当理由逾期不补正、行政机关不再处理其政府信息公开申请</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732"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2.申请人逾期未按收费通知要求缴纳费用、行政机关不再处理其政府信息公开申请</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p>
        </w:tc>
        <w:tc>
          <w:tcPr>
            <w:tcW w:w="28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3.其他</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宋体" w:hAnsi="宋体" w:cs="宋体"/>
                <w:sz w:val="20"/>
                <w:szCs w:val="20"/>
              </w:rPr>
            </w:pPr>
          </w:p>
        </w:tc>
        <w:tc>
          <w:tcPr>
            <w:tcW w:w="353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（七）总计</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rPr>
            </w:pPr>
            <w:r>
              <w:rPr>
                <w:rFonts w:hint="eastAsia" w:ascii="宋体" w:hAnsi="宋体" w:cs="宋体"/>
                <w:sz w:val="20"/>
                <w:szCs w:val="20"/>
                <w:lang w:val="en-US" w:eastAsia="zh-CN"/>
              </w:rPr>
              <w:t>0</w:t>
            </w:r>
          </w:p>
        </w:tc>
      </w:tr>
      <w:tr>
        <w:tblPrEx>
          <w:tblCellMar>
            <w:top w:w="0" w:type="dxa"/>
            <w:left w:w="108" w:type="dxa"/>
            <w:bottom w:w="0" w:type="dxa"/>
            <w:right w:w="108" w:type="dxa"/>
          </w:tblCellMar>
        </w:tblPrEx>
        <w:trPr>
          <w:trHeight w:val="400" w:hRule="atLeast"/>
          <w:jc w:val="center"/>
        </w:trPr>
        <w:tc>
          <w:tcPr>
            <w:tcW w:w="40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cs="宋体"/>
                <w:sz w:val="20"/>
                <w:szCs w:val="20"/>
              </w:rPr>
            </w:pPr>
            <w:r>
              <w:rPr>
                <w:rFonts w:hint="eastAsia" w:ascii="宋体" w:hAnsi="宋体" w:cs="宋体"/>
                <w:kern w:val="0"/>
                <w:sz w:val="20"/>
                <w:szCs w:val="20"/>
                <w:lang w:bidi="ar"/>
              </w:rPr>
              <w:t>四、结转下年度继续处理</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bl>
    <w:p>
      <w:pPr>
        <w:spacing w:line="59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四、政府信息公开行政复议、行政诉讼情况</w:t>
      </w:r>
    </w:p>
    <w:tbl>
      <w:tblPr>
        <w:tblStyle w:val="4"/>
        <w:tblW w:w="0" w:type="auto"/>
        <w:jc w:val="center"/>
        <w:tblLayout w:type="fixed"/>
        <w:tblCellMar>
          <w:top w:w="0" w:type="dxa"/>
          <w:left w:w="108" w:type="dxa"/>
          <w:bottom w:w="0" w:type="dxa"/>
          <w:right w:w="108" w:type="dxa"/>
        </w:tblCellMar>
      </w:tblPr>
      <w:tblGrid>
        <w:gridCol w:w="625"/>
        <w:gridCol w:w="626"/>
        <w:gridCol w:w="625"/>
        <w:gridCol w:w="625"/>
        <w:gridCol w:w="626"/>
        <w:gridCol w:w="605"/>
        <w:gridCol w:w="604"/>
        <w:gridCol w:w="890"/>
        <w:gridCol w:w="450"/>
        <w:gridCol w:w="576"/>
        <w:gridCol w:w="604"/>
        <w:gridCol w:w="605"/>
        <w:gridCol w:w="605"/>
        <w:gridCol w:w="604"/>
        <w:gridCol w:w="710"/>
      </w:tblGrid>
      <w:tr>
        <w:tblPrEx>
          <w:tblCellMar>
            <w:top w:w="0" w:type="dxa"/>
            <w:left w:w="108" w:type="dxa"/>
            <w:bottom w:w="0" w:type="dxa"/>
            <w:right w:w="108" w:type="dxa"/>
          </w:tblCellMar>
        </w:tblPrEx>
        <w:trPr>
          <w:trHeight w:val="411" w:hRule="atLeast"/>
          <w:jc w:val="center"/>
        </w:trPr>
        <w:tc>
          <w:tcPr>
            <w:tcW w:w="312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行政复议</w:t>
            </w:r>
          </w:p>
        </w:tc>
        <w:tc>
          <w:tcPr>
            <w:tcW w:w="6253"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行政诉讼</w:t>
            </w:r>
          </w:p>
        </w:tc>
      </w:tr>
      <w:tr>
        <w:tblPrEx>
          <w:tblCellMar>
            <w:top w:w="0" w:type="dxa"/>
            <w:left w:w="108" w:type="dxa"/>
            <w:bottom w:w="0" w:type="dxa"/>
            <w:right w:w="108" w:type="dxa"/>
          </w:tblCellMar>
        </w:tblPrEx>
        <w:trPr>
          <w:trHeight w:val="567" w:hRule="atLeast"/>
          <w:jc w:val="center"/>
        </w:trPr>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总计</w:t>
            </w:r>
          </w:p>
        </w:tc>
        <w:tc>
          <w:tcPr>
            <w:tcW w:w="312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未经复议直接起诉</w:t>
            </w:r>
          </w:p>
        </w:tc>
        <w:tc>
          <w:tcPr>
            <w:tcW w:w="312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复议后起诉</w:t>
            </w:r>
          </w:p>
        </w:tc>
      </w:tr>
      <w:tr>
        <w:tblPrEx>
          <w:tblCellMar>
            <w:top w:w="0" w:type="dxa"/>
            <w:left w:w="108" w:type="dxa"/>
            <w:bottom w:w="0" w:type="dxa"/>
            <w:right w:w="108" w:type="dxa"/>
          </w:tblCellMar>
        </w:tblPrEx>
        <w:trPr>
          <w:trHeight w:val="1269" w:hRule="atLeast"/>
          <w:jc w:val="center"/>
        </w:trPr>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szCs w:val="20"/>
              </w:rPr>
            </w:pP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总计</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总计</w:t>
            </w:r>
          </w:p>
        </w:tc>
      </w:tr>
      <w:tr>
        <w:tblPrEx>
          <w:tblCellMar>
            <w:top w:w="0" w:type="dxa"/>
            <w:left w:w="108" w:type="dxa"/>
            <w:bottom w:w="0" w:type="dxa"/>
            <w:right w:w="108" w:type="dxa"/>
          </w:tblCellMar>
        </w:tblPrEx>
        <w:trPr>
          <w:trHeight w:val="439"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c>
          <w:tcPr>
            <w:tcW w:w="62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cs="宋体"/>
                <w:sz w:val="20"/>
                <w:szCs w:val="20"/>
                <w:lang w:val="en"/>
              </w:rPr>
            </w:pPr>
            <w:r>
              <w:rPr>
                <w:rFonts w:hint="eastAsia" w:ascii="宋体" w:hAnsi="宋体" w:cs="宋体"/>
                <w:sz w:val="20"/>
                <w:szCs w:val="20"/>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cs="宋体"/>
                <w:sz w:val="20"/>
                <w:szCs w:val="20"/>
              </w:rPr>
            </w:pPr>
            <w:r>
              <w:rPr>
                <w:rFonts w:hint="eastAsia" w:ascii="宋体" w:hAnsi="宋体" w:cs="宋体"/>
                <w:sz w:val="20"/>
                <w:szCs w:val="20"/>
                <w:lang w:val="en-US" w:eastAsia="zh-CN"/>
              </w:rPr>
              <w:t>0</w:t>
            </w:r>
          </w:p>
        </w:tc>
      </w:tr>
    </w:tbl>
    <w:p>
      <w:pPr>
        <w:pStyle w:val="3"/>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黑体" w:hAnsi="黑体" w:eastAsia="黑体" w:cs="黑体"/>
          <w:color w:val="000000"/>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存在的主要问题：</w:t>
      </w:r>
    </w:p>
    <w:p>
      <w:pPr>
        <w:spacing w:line="578" w:lineRule="exact"/>
        <w:ind w:firstLine="640" w:firstLineChars="200"/>
      </w:pPr>
      <w:r>
        <w:rPr>
          <w:rFonts w:hint="eastAsia"/>
        </w:rPr>
        <w:t>一是政务公开信息量较少，公开的主动性较低。二是</w:t>
      </w:r>
      <w:r>
        <w:rPr>
          <w:rFonts w:ascii="仿宋_GB2312" w:hAnsi="仿宋_GB2312" w:cs="仿宋_GB2312"/>
          <w:kern w:val="0"/>
          <w:szCs w:val="32"/>
        </w:rPr>
        <w:t>部分政府信息公开</w:t>
      </w:r>
      <w:r>
        <w:rPr>
          <w:rFonts w:hint="eastAsia" w:ascii="仿宋_GB2312" w:hAnsi="仿宋_GB2312" w:cs="仿宋_GB2312"/>
          <w:kern w:val="0"/>
          <w:szCs w:val="32"/>
        </w:rPr>
        <w:t>有延迟，公开内容不具体、不全面。</w:t>
      </w:r>
      <w:r>
        <w:rPr>
          <w:rFonts w:hint="eastAsia"/>
        </w:rPr>
        <w:t>三是队伍建设薄弱、力量缺乏，专业水平有待进一步提高。</w:t>
      </w:r>
    </w:p>
    <w:p>
      <w:pPr>
        <w:pStyle w:val="3"/>
        <w:spacing w:line="578"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改进措施：</w:t>
      </w:r>
    </w:p>
    <w:p>
      <w:pPr>
        <w:spacing w:line="578" w:lineRule="exact"/>
        <w:ind w:firstLine="640" w:firstLineChars="200"/>
        <w:rPr>
          <w:rFonts w:hint="eastAsia" w:ascii="仿宋_GB2312" w:hAnsi="仿宋_GB2312" w:cs="仿宋_GB2312"/>
          <w:kern w:val="0"/>
          <w:szCs w:val="32"/>
          <w:lang w:eastAsia="zh-CN"/>
        </w:rPr>
      </w:pPr>
      <w:r>
        <w:rPr>
          <w:rFonts w:hint="eastAsia" w:ascii="仿宋_GB2312" w:hAnsi="仿宋_GB2312" w:cs="仿宋_GB2312"/>
          <w:kern w:val="0"/>
          <w:szCs w:val="32"/>
          <w:lang w:eastAsia="zh-CN"/>
        </w:rPr>
        <w:t>一是</w:t>
      </w:r>
      <w:r>
        <w:rPr>
          <w:rFonts w:ascii="仿宋_GB2312" w:hAnsi="仿宋_GB2312" w:cs="仿宋_GB2312"/>
          <w:kern w:val="0"/>
          <w:szCs w:val="32"/>
        </w:rPr>
        <w:t>加大主动公开力度</w:t>
      </w:r>
      <w:r>
        <w:rPr>
          <w:rFonts w:hint="eastAsia" w:ascii="仿宋_GB2312" w:hAnsi="仿宋_GB2312" w:cs="仿宋_GB2312"/>
          <w:kern w:val="0"/>
          <w:szCs w:val="32"/>
        </w:rPr>
        <w:t>。</w:t>
      </w:r>
      <w:r>
        <w:rPr>
          <w:rFonts w:hint="eastAsia" w:ascii="仿宋_GB2312" w:hAnsi="仿宋_GB2312" w:cs="仿宋_GB2312"/>
          <w:kern w:val="0"/>
          <w:szCs w:val="32"/>
          <w:lang w:eastAsia="zh-CN"/>
        </w:rPr>
        <w:t>广泛听取群众的意见和建议，丰富</w:t>
      </w:r>
      <w:r>
        <w:rPr>
          <w:rFonts w:ascii="仿宋_GB2312" w:hAnsi="仿宋_GB2312" w:cs="仿宋_GB2312"/>
          <w:kern w:val="0"/>
          <w:szCs w:val="32"/>
        </w:rPr>
        <w:t>公开内容，</w:t>
      </w:r>
      <w:r>
        <w:rPr>
          <w:rFonts w:hint="eastAsia" w:ascii="仿宋_GB2312" w:hAnsi="仿宋_GB2312" w:cs="仿宋_GB2312"/>
          <w:kern w:val="0"/>
          <w:szCs w:val="32"/>
          <w:lang w:eastAsia="zh-CN"/>
        </w:rPr>
        <w:t>提高信息质量，重点公开人民群众普遍关心的热点、焦点问题。二是加强工作督促检查。畅通公开渠道，及时更新、上传全面、准确、优质的政府信息，</w:t>
      </w:r>
      <w:r>
        <w:rPr>
          <w:rFonts w:ascii="仿宋_GB2312" w:hAnsi="仿宋_GB2312" w:cs="仿宋_GB2312"/>
          <w:kern w:val="0"/>
          <w:szCs w:val="32"/>
        </w:rPr>
        <w:t>确保信息的时效性、准确性和完整性。</w:t>
      </w:r>
      <w:r>
        <w:rPr>
          <w:rFonts w:hint="eastAsia" w:ascii="仿宋_GB2312" w:hAnsi="仿宋_GB2312" w:cs="仿宋_GB2312"/>
          <w:kern w:val="0"/>
          <w:szCs w:val="32"/>
          <w:lang w:eastAsia="zh-CN"/>
        </w:rPr>
        <w:t>三是提高专业学习能力。</w:t>
      </w:r>
      <w:r>
        <w:rPr>
          <w:rFonts w:hint="eastAsia" w:ascii="仿宋_GB2312" w:hAnsi="仿宋_GB2312" w:cs="仿宋_GB2312"/>
          <w:sz w:val="32"/>
          <w:szCs w:val="32"/>
          <w:lang w:val="en-US" w:eastAsia="zh-CN"/>
        </w:rPr>
        <w:t>加强与上级部门的沟通交流，</w:t>
      </w:r>
      <w:r>
        <w:rPr>
          <w:rFonts w:hint="eastAsia" w:ascii="仿宋_GB2312" w:hAnsi="仿宋_GB2312" w:eastAsia="仿宋_GB2312" w:cs="仿宋_GB2312"/>
          <w:sz w:val="32"/>
          <w:szCs w:val="32"/>
        </w:rPr>
        <w:t>做好</w:t>
      </w:r>
      <w:r>
        <w:rPr>
          <w:rFonts w:hint="eastAsia" w:ascii="仿宋_GB2312" w:hAnsi="仿宋_GB2312" w:cs="仿宋_GB2312"/>
          <w:sz w:val="32"/>
          <w:szCs w:val="32"/>
          <w:lang w:eastAsia="zh-CN"/>
        </w:rPr>
        <w:t>政府</w:t>
      </w:r>
      <w:r>
        <w:rPr>
          <w:rFonts w:hint="eastAsia" w:ascii="仿宋_GB2312" w:hAnsi="仿宋_GB2312" w:eastAsia="仿宋_GB2312" w:cs="仿宋_GB2312"/>
          <w:sz w:val="32"/>
          <w:szCs w:val="32"/>
        </w:rPr>
        <w:t>信息公开的培训</w:t>
      </w:r>
      <w:r>
        <w:rPr>
          <w:rFonts w:hint="eastAsia" w:ascii="仿宋_GB2312" w:hAnsi="仿宋_GB2312" w:cs="仿宋_GB2312"/>
          <w:sz w:val="32"/>
          <w:szCs w:val="32"/>
          <w:lang w:eastAsia="zh-CN"/>
        </w:rPr>
        <w:t>学习</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提升工作人员政务公开工作水平，</w:t>
      </w:r>
      <w:r>
        <w:rPr>
          <w:rFonts w:hint="eastAsia" w:ascii="仿宋_GB2312" w:hAnsi="仿宋_GB2312" w:eastAsia="仿宋_GB2312" w:cs="仿宋_GB2312"/>
          <w:sz w:val="32"/>
          <w:szCs w:val="32"/>
        </w:rPr>
        <w:t>推进</w:t>
      </w:r>
      <w:r>
        <w:rPr>
          <w:rFonts w:hint="eastAsia" w:ascii="仿宋_GB2312" w:hAnsi="仿宋_GB2312" w:cs="仿宋_GB2312"/>
          <w:sz w:val="32"/>
          <w:szCs w:val="32"/>
          <w:lang w:val="en-US" w:eastAsia="zh-CN"/>
        </w:rPr>
        <w:t>政务公开工作高质高效</w:t>
      </w:r>
      <w:r>
        <w:rPr>
          <w:rFonts w:hint="eastAsia" w:ascii="仿宋_GB2312" w:hAnsi="仿宋_GB2312" w:eastAsia="仿宋_GB2312" w:cs="仿宋_GB2312"/>
          <w:sz w:val="32"/>
          <w:szCs w:val="32"/>
        </w:rPr>
        <w:t>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rPr>
      </w:pPr>
      <w:r>
        <w:rPr>
          <w:rFonts w:hint="eastAsia" w:ascii="黑体" w:hAnsi="黑体" w:eastAsia="黑体" w:cs="黑体"/>
          <w:color w:val="000000"/>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000000"/>
        </w:rPr>
      </w:pPr>
      <w:r>
        <w:rPr>
          <w:rFonts w:hint="eastAsia"/>
          <w:color w:val="000000"/>
        </w:rPr>
        <w:t>无</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color w:val="000000"/>
          <w:lang w:eastAsia="zh-CN"/>
        </w:rPr>
      </w:pPr>
      <w:r>
        <w:rPr>
          <w:rFonts w:hint="eastAsia"/>
          <w:color w:val="000000"/>
          <w:lang w:eastAsia="zh-CN"/>
        </w:rPr>
        <w:t>风陵渡镇人民政府</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color w:val="000000"/>
        </w:rPr>
      </w:pPr>
      <w:r>
        <w:rPr>
          <w:rFonts w:hint="eastAsia"/>
          <w:color w:val="000000"/>
          <w:lang w:val="en-US" w:eastAsia="zh-CN"/>
        </w:rPr>
        <w:t>2024年1月25日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7B422D-93B5-4766-805D-75C12DB9A4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BC0A7621-2547-4719-AED7-99036D3E4BBB}"/>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embedRegular r:id="rId3" w:fontKey="{CC087778-8EED-44FD-BA5F-BF7C0F4293F2}"/>
  </w:font>
  <w:font w:name="微软雅黑">
    <w:panose1 w:val="020B0503020204020204"/>
    <w:charset w:val="86"/>
    <w:family w:val="auto"/>
    <w:pitch w:val="default"/>
    <w:sig w:usb0="80000287" w:usb1="280F3C52" w:usb2="00000016" w:usb3="00000000" w:csb0="0004001F" w:csb1="00000000"/>
    <w:embedRegular r:id="rId4" w:fontKey="{7D24B968-99B5-425B-8363-1AD88B67771A}"/>
  </w:font>
  <w:font w:name="楷体">
    <w:panose1 w:val="02010609060101010101"/>
    <w:charset w:val="86"/>
    <w:family w:val="auto"/>
    <w:pitch w:val="default"/>
    <w:sig w:usb0="800002BF" w:usb1="38CF7CFA" w:usb2="00000016" w:usb3="00000000" w:csb0="00040001" w:csb1="00000000"/>
    <w:embedRegular r:id="rId5" w:fontKey="{77AEA0BF-D3DB-4315-9A13-E4DC52F7B25E}"/>
  </w:font>
  <w:font w:name="仿宋">
    <w:panose1 w:val="02010609060101010101"/>
    <w:charset w:val="86"/>
    <w:family w:val="modern"/>
    <w:pitch w:val="default"/>
    <w:sig w:usb0="800002BF" w:usb1="38CF7CFA" w:usb2="00000016" w:usb3="00000000" w:csb0="00040001" w:csb1="00000000"/>
    <w:embedRegular r:id="rId6" w:fontKey="{9F9A1F3F-95F3-4923-881E-BE76872A9C4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74EC7"/>
    <w:multiLevelType w:val="singleLevel"/>
    <w:tmpl w:val="4C574E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YzMyZDIwMTA0YmY2NGFhNWExNDhiYjAxYzdlZTgifQ=="/>
  </w:docVars>
  <w:rsids>
    <w:rsidRoot w:val="00000000"/>
    <w:rsid w:val="0EB43F87"/>
    <w:rsid w:val="104906FF"/>
    <w:rsid w:val="18C62650"/>
    <w:rsid w:val="21E36C06"/>
    <w:rsid w:val="3E5720B6"/>
    <w:rsid w:val="5D3D64C3"/>
    <w:rsid w:val="63043DE1"/>
    <w:rsid w:val="720A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仿宋_GB2312" w:eastAsia="华文中宋"/>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font01"/>
    <w:basedOn w:val="5"/>
    <w:autoRedefine/>
    <w:qFormat/>
    <w:uiPriority w:val="0"/>
    <w:rPr>
      <w:rFonts w:hint="eastAsia"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2024-01-25T01:24:00Z</dcterms:created>
  <dc:creator>Administrator</dc:creator>
  <cp:lastModifiedBy>闫婧</cp:lastModifiedBy>
  <dcterms:modified xsi:type="dcterms:W3CDTF">2024-01-26T02:37:30Z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2DD0163864094DC29978A85F60E7D2AE_12</vt:lpwstr>
  </property>
</Properties>
</file>