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</w:pPr>
      <w: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1842135</wp:posOffset>
                </wp:positionV>
                <wp:extent cx="5619115" cy="4000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11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145.05pt;height:31.5pt;width:442.45pt;mso-position-horizontal:center;mso-position-vertical-relative:page;z-index:251659264;mso-width-relative:page;mso-height-relative:page;" filled="f" stroked="f" coordsize="21600,21600" o:gfxdata="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csqjX2AAAAAgBAAAPAAAAAAAAAAEAIAAAACIAAABkcnMvZG93bnJldi54bWxQSwEC&#10;FAAUAAAACACHTuJAKhYiJbsBAAByAwAADgAAAAAAAAABACAAAAAn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  <w10:anchorlock/>
              </v:shape>
            </w:pict>
          </mc:Fallback>
        </mc:AlternateContent>
      </w:r>
    </w:p>
    <w:p>
      <w:pPr>
        <w:spacing w:line="578" w:lineRule="exact"/>
      </w:pPr>
    </w:p>
    <w:p>
      <w:pPr>
        <w:spacing w:line="600" w:lineRule="exact"/>
      </w:pPr>
    </w:p>
    <w:p>
      <w:pPr>
        <w:spacing w:line="606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东垆乡</w:t>
      </w:r>
      <w:r>
        <w:rPr>
          <w:rFonts w:eastAsia="方正小标宋简体"/>
          <w:sz w:val="44"/>
          <w:szCs w:val="44"/>
        </w:rPr>
        <w:t>人民政府</w:t>
      </w:r>
    </w:p>
    <w:p>
      <w:pPr>
        <w:pStyle w:val="3"/>
        <w:jc w:val="center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2022年政府信息公开工作年度报告</w:t>
      </w:r>
    </w:p>
    <w:p>
      <w:pPr>
        <w:spacing w:line="540" w:lineRule="exact"/>
        <w:rPr>
          <w:szCs w:val="32"/>
        </w:rPr>
      </w:pPr>
    </w:p>
    <w:p>
      <w:pPr>
        <w:pStyle w:val="3"/>
        <w:spacing w:line="578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根据《中华人民共和国政府信息公开条例》和国务院办公厅政府信息与政务公开办公室《关于政府信息公开工作年度报告有关事项的通知》要求，现公布芮城县</w:t>
      </w:r>
      <w:r>
        <w:rPr>
          <w:rFonts w:hint="eastAsia"/>
          <w:sz w:val="32"/>
          <w:szCs w:val="32"/>
        </w:rPr>
        <w:t>东垆乡</w:t>
      </w:r>
      <w:r>
        <w:rPr>
          <w:sz w:val="32"/>
          <w:szCs w:val="32"/>
        </w:rPr>
        <w:t>人民政府202</w:t>
      </w: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年政府信息公开工作年度报告。本报告由总体情况、主动公开政府信息情况、收到和处理政府信息公开申请情况、政府信息公开行政复议及行政诉讼情况、存在的主要问题及改进情况、其他需要报告的事项六部分组成，所列数据统计时限为202</w:t>
      </w: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年1月1日至202</w:t>
      </w: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 xml:space="preserve">年12月31日。本报告的电子版可在芮城县人民政府门户网站（www.rcx.gov.cn）下载。 </w:t>
      </w:r>
    </w:p>
    <w:p>
      <w:pPr>
        <w:pStyle w:val="3"/>
        <w:spacing w:line="578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ascii="黑体" w:hAnsi="黑体" w:eastAsia="黑体" w:cs="黑体"/>
          <w:sz w:val="32"/>
          <w:szCs w:val="32"/>
        </w:rPr>
        <w:t>一、总体情况</w:t>
      </w:r>
    </w:p>
    <w:p>
      <w:pPr>
        <w:spacing w:line="578" w:lineRule="exact"/>
        <w:ind w:firstLine="640" w:firstLineChars="200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为进一步推动政府信息公开工作，加强服务型政府建设，积极发挥政府信息公开对建设法治政府、创新政府、廉洁政府的促进作用，进一步加大政府信息公开力度，扩大政府信息公开范围提高政府工作的透明度，充分保障公民、法人和其他组织对政府工作的知情权、参与权和监督权。东垆乡认真贯彻落实县人民政府政务公开</w:t>
      </w:r>
      <w:r>
        <w:rPr>
          <w:rFonts w:ascii="仿宋_GB2312" w:hAnsi="仿宋_GB2312" w:cs="仿宋_GB2312"/>
          <w:kern w:val="0"/>
          <w:szCs w:val="32"/>
        </w:rPr>
        <w:t>办公室的</w:t>
      </w:r>
      <w:r>
        <w:rPr>
          <w:rFonts w:hint="eastAsia" w:ascii="仿宋_GB2312" w:hAnsi="仿宋_GB2312" w:cs="仿宋_GB2312"/>
          <w:kern w:val="0"/>
          <w:szCs w:val="32"/>
        </w:rPr>
        <w:t>工作</w:t>
      </w:r>
      <w:r>
        <w:rPr>
          <w:rFonts w:ascii="仿宋_GB2312" w:hAnsi="仿宋_GB2312" w:cs="仿宋_GB2312"/>
          <w:kern w:val="0"/>
          <w:szCs w:val="32"/>
        </w:rPr>
        <w:t>要求和</w:t>
      </w:r>
      <w:r>
        <w:rPr>
          <w:rFonts w:hint="eastAsia" w:ascii="仿宋_GB2312" w:hAnsi="仿宋_GB2312" w:cs="仿宋_GB2312"/>
          <w:kern w:val="0"/>
          <w:szCs w:val="32"/>
        </w:rPr>
        <w:t>安排</w:t>
      </w:r>
      <w:r>
        <w:rPr>
          <w:rFonts w:ascii="仿宋_GB2312" w:hAnsi="仿宋_GB2312" w:cs="仿宋_GB2312"/>
          <w:kern w:val="0"/>
          <w:szCs w:val="32"/>
        </w:rPr>
        <w:t>部署，</w:t>
      </w:r>
      <w:r>
        <w:rPr>
          <w:rFonts w:hint="eastAsia" w:ascii="仿宋_GB2312" w:hAnsi="仿宋_GB2312" w:cs="仿宋_GB2312"/>
          <w:kern w:val="0"/>
          <w:szCs w:val="32"/>
        </w:rPr>
        <w:t>根据人员的变动，及时调整乡政务公开工作领导小组。由任阳阳乡长任组长，分管领导任副组长，纪检、党政办、便民中心等部门负责人担任小组成员，具体负责全乡政务公开工作，明确个人责任，分工合作，确保了乡政务公开工作的组织落实和人员落实。为加强政府信息公开，加强教育培训，确保政务公开各项工作落到实处，我乡先后多次召开会议，对政务公开和村务公开工作进行了部署和督促。增强公开意识，严格审核程序，拓宽咨询渠道，回应群众诉求，坚持</w:t>
      </w:r>
      <w:r>
        <w:rPr>
          <w:rFonts w:ascii="仿宋_GB2312" w:hAnsi="仿宋_GB2312" w:cs="仿宋_GB2312"/>
          <w:kern w:val="0"/>
          <w:szCs w:val="32"/>
        </w:rPr>
        <w:t>把</w:t>
      </w:r>
      <w:r>
        <w:rPr>
          <w:rFonts w:hint="eastAsia" w:ascii="仿宋_GB2312" w:hAnsi="仿宋_GB2312" w:cs="仿宋_GB2312"/>
          <w:kern w:val="0"/>
          <w:szCs w:val="32"/>
        </w:rPr>
        <w:t>政府信息公开</w:t>
      </w:r>
      <w:r>
        <w:rPr>
          <w:rFonts w:ascii="仿宋_GB2312" w:hAnsi="仿宋_GB2312" w:cs="仿宋_GB2312"/>
          <w:kern w:val="0"/>
          <w:szCs w:val="32"/>
        </w:rPr>
        <w:t>与各项工作联系起来，深入推</w:t>
      </w:r>
      <w:r>
        <w:rPr>
          <w:rFonts w:hint="eastAsia" w:ascii="仿宋_GB2312" w:hAnsi="仿宋_GB2312" w:cs="仿宋_GB2312"/>
          <w:kern w:val="0"/>
          <w:szCs w:val="32"/>
        </w:rPr>
        <w:t>动</w:t>
      </w:r>
      <w:r>
        <w:rPr>
          <w:rFonts w:ascii="仿宋_GB2312" w:hAnsi="仿宋_GB2312" w:cs="仿宋_GB2312"/>
          <w:kern w:val="0"/>
          <w:szCs w:val="32"/>
        </w:rPr>
        <w:t>各项工作的开展</w:t>
      </w:r>
      <w:r>
        <w:rPr>
          <w:rFonts w:hint="eastAsia" w:ascii="仿宋_GB2312" w:hAnsi="仿宋_GB2312" w:cs="仿宋_GB2312"/>
          <w:kern w:val="0"/>
          <w:szCs w:val="32"/>
        </w:rPr>
        <w:t>。</w:t>
      </w:r>
    </w:p>
    <w:p>
      <w:pPr>
        <w:pStyle w:val="2"/>
        <w:spacing w:line="580" w:lineRule="exact"/>
        <w:ind w:firstLine="640" w:firstLineChars="200"/>
        <w:rPr>
          <w:rFonts w:hint="eastAsia" w:hAnsi="仿宋_GB2312" w:eastAsia="仿宋_GB2312" w:cs="仿宋_GB2312"/>
          <w:kern w:val="0"/>
          <w:szCs w:val="32"/>
        </w:rPr>
      </w:pPr>
      <w:r>
        <w:rPr>
          <w:rFonts w:hint="eastAsia" w:ascii="楷体" w:hAnsi="楷体" w:eastAsia="楷体" w:cs="方正楷体_GBK"/>
          <w:kern w:val="0"/>
          <w:szCs w:val="32"/>
        </w:rPr>
        <w:t>（一）主动公开情况</w:t>
      </w:r>
      <w:r>
        <w:rPr>
          <w:rFonts w:hint="eastAsia" w:ascii="楷体" w:hAnsi="楷体" w:eastAsia="楷体" w:cs="仿宋_GB2312"/>
          <w:kern w:val="0"/>
          <w:szCs w:val="32"/>
        </w:rPr>
        <w:t>。</w:t>
      </w:r>
      <w:r>
        <w:rPr>
          <w:rFonts w:hint="eastAsia" w:hAnsi="仿宋_GB2312" w:eastAsia="仿宋_GB2312" w:cs="仿宋_GB2312"/>
          <w:kern w:val="0"/>
          <w:szCs w:val="32"/>
        </w:rPr>
        <w:t>2022年东垆乡主要通过政府信息公开网站、宣传栏、公示栏等多种方式进行公开，主动公开政务信息3条，主要为机关职能、机构设置、办公地址、办公时间、联系方式、负责人姓名等；并及时更新领导分工调整信息；公开部门权责清单及法律、法规、规章和国家有关规定应当主动公开的其他涉农领域信息、预决算情况等。</w:t>
      </w:r>
    </w:p>
    <w:p>
      <w:pPr>
        <w:widowControl/>
        <w:spacing w:line="580" w:lineRule="exact"/>
        <w:ind w:firstLine="640" w:firstLineChars="200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楷体" w:hAnsi="楷体" w:eastAsia="楷体" w:cs="方正楷体_GBK"/>
          <w:kern w:val="0"/>
          <w:szCs w:val="32"/>
        </w:rPr>
        <w:t>（二）依申请公开。</w:t>
      </w:r>
      <w:r>
        <w:rPr>
          <w:rFonts w:hint="eastAsia" w:ascii="仿宋_GB2312" w:hAnsi="仿宋_GB2312" w:cs="仿宋_GB2312"/>
          <w:kern w:val="0"/>
          <w:szCs w:val="32"/>
        </w:rPr>
        <w:t>2022年，东垆乡未收到依申请公开件。</w:t>
      </w:r>
    </w:p>
    <w:p>
      <w:pPr>
        <w:widowControl/>
        <w:spacing w:line="580" w:lineRule="exact"/>
        <w:ind w:firstLine="640" w:firstLineChars="200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楷体" w:hAnsi="楷体" w:eastAsia="楷体" w:cs="方正楷体_GBK"/>
          <w:kern w:val="0"/>
          <w:szCs w:val="32"/>
        </w:rPr>
        <w:t>（三）政府信息管理。</w:t>
      </w:r>
      <w:r>
        <w:rPr>
          <w:rFonts w:hint="eastAsia" w:ascii="仿宋_GB2312" w:hAnsi="仿宋_GB2312" w:cs="仿宋_GB2312"/>
          <w:kern w:val="0"/>
          <w:szCs w:val="32"/>
        </w:rPr>
        <w:t>东垆乡认真贯彻落实县委、县政府有关要求，认真决策执行《政</w:t>
      </w:r>
      <w:r>
        <w:rPr>
          <w:rFonts w:hint="eastAsia" w:ascii="仿宋_GB2312" w:hAnsi="仿宋_GB2312" w:cs="仿宋_GB2312"/>
          <w:kern w:val="0"/>
          <w:szCs w:val="32"/>
          <w:lang w:eastAsia="zh-CN"/>
        </w:rPr>
        <w:t>府</w:t>
      </w:r>
      <w:bookmarkStart w:id="0" w:name="_GoBack"/>
      <w:bookmarkEnd w:id="0"/>
      <w:r>
        <w:rPr>
          <w:rFonts w:hint="eastAsia" w:ascii="仿宋_GB2312" w:hAnsi="仿宋_GB2312" w:cs="仿宋_GB2312"/>
          <w:kern w:val="0"/>
          <w:szCs w:val="32"/>
        </w:rPr>
        <w:t>信息公开条例》，始终将政务信息公开作为一项重要工作任务，成立政务公开领导小组，安排专人负责日常政务公开工作，明确了</w:t>
      </w:r>
      <w:r>
        <w:rPr>
          <w:rFonts w:ascii="仿宋_GB2312" w:hAnsi="仿宋_GB2312" w:cs="仿宋_GB2312"/>
          <w:kern w:val="0"/>
          <w:szCs w:val="32"/>
        </w:rPr>
        <w:t>一把手负总责，分管领导具体负责的领导工作机制，形成</w:t>
      </w:r>
      <w:r>
        <w:rPr>
          <w:rFonts w:hint="eastAsia" w:ascii="仿宋_GB2312" w:hAnsi="仿宋_GB2312" w:cs="仿宋_GB2312"/>
          <w:kern w:val="0"/>
          <w:szCs w:val="32"/>
        </w:rPr>
        <w:t>上</w:t>
      </w:r>
      <w:r>
        <w:rPr>
          <w:rFonts w:ascii="仿宋_GB2312" w:hAnsi="仿宋_GB2312" w:cs="仿宋_GB2312"/>
          <w:kern w:val="0"/>
          <w:szCs w:val="32"/>
        </w:rPr>
        <w:t>级抓</w:t>
      </w:r>
      <w:r>
        <w:rPr>
          <w:rFonts w:hint="eastAsia" w:ascii="仿宋_GB2312" w:hAnsi="仿宋_GB2312" w:cs="仿宋_GB2312"/>
          <w:kern w:val="0"/>
          <w:szCs w:val="32"/>
        </w:rPr>
        <w:t>下</w:t>
      </w:r>
      <w:r>
        <w:rPr>
          <w:rFonts w:ascii="仿宋_GB2312" w:hAnsi="仿宋_GB2312" w:cs="仿宋_GB2312"/>
          <w:kern w:val="0"/>
          <w:szCs w:val="32"/>
        </w:rPr>
        <w:t>级，层层抓</w:t>
      </w:r>
      <w:r>
        <w:rPr>
          <w:rFonts w:hint="eastAsia" w:ascii="仿宋_GB2312" w:hAnsi="仿宋_GB2312" w:cs="仿宋_GB2312"/>
          <w:kern w:val="0"/>
          <w:szCs w:val="32"/>
        </w:rPr>
        <w:t>质量</w:t>
      </w:r>
      <w:r>
        <w:rPr>
          <w:rFonts w:ascii="仿宋_GB2312" w:hAnsi="仿宋_GB2312" w:cs="仿宋_GB2312"/>
          <w:kern w:val="0"/>
          <w:szCs w:val="32"/>
        </w:rPr>
        <w:t>的良好工作局面，为</w:t>
      </w:r>
      <w:r>
        <w:rPr>
          <w:rFonts w:hint="eastAsia" w:ascii="仿宋_GB2312" w:hAnsi="仿宋_GB2312" w:cs="仿宋_GB2312"/>
          <w:kern w:val="0"/>
          <w:szCs w:val="32"/>
        </w:rPr>
        <w:t>政府信息公开</w:t>
      </w:r>
      <w:r>
        <w:rPr>
          <w:rFonts w:ascii="仿宋_GB2312" w:hAnsi="仿宋_GB2312" w:cs="仿宋_GB2312"/>
          <w:kern w:val="0"/>
          <w:szCs w:val="32"/>
        </w:rPr>
        <w:t>工作的顺利开展提供了强有力的保障</w:t>
      </w:r>
      <w:r>
        <w:rPr>
          <w:rFonts w:hint="eastAsia" w:ascii="仿宋_GB2312" w:hAnsi="仿宋_GB2312" w:cs="仿宋_GB2312"/>
          <w:kern w:val="0"/>
          <w:szCs w:val="32"/>
        </w:rPr>
        <w:t>。</w:t>
      </w:r>
    </w:p>
    <w:p>
      <w:pPr>
        <w:pStyle w:val="2"/>
        <w:spacing w:line="580" w:lineRule="exact"/>
        <w:ind w:firstLine="640" w:firstLineChars="200"/>
        <w:rPr>
          <w:rFonts w:hint="eastAsia" w:hAnsi="仿宋_GB2312" w:eastAsia="仿宋_GB2312" w:cs="仿宋_GB2312"/>
          <w:kern w:val="0"/>
          <w:szCs w:val="32"/>
        </w:rPr>
      </w:pPr>
      <w:r>
        <w:rPr>
          <w:rFonts w:hint="eastAsia" w:ascii="楷体" w:hAnsi="楷体" w:eastAsia="楷体" w:cs="方正楷体_GBK"/>
          <w:kern w:val="0"/>
          <w:szCs w:val="32"/>
        </w:rPr>
        <w:t>（四）政府信息公开平台建设。</w:t>
      </w:r>
      <w:r>
        <w:rPr>
          <w:rFonts w:hint="eastAsia" w:hAnsi="仿宋_GB2312" w:eastAsia="仿宋_GB2312" w:cs="仿宋_GB2312"/>
          <w:kern w:val="0"/>
          <w:szCs w:val="32"/>
        </w:rPr>
        <w:t>2022年，东垆乡为保证政府信息公开形式多样化，拓宽公开渠道，充分用政府信息公开网站，设置线下宣传栏、公示栏等，通过多种方式，及时按照要求公开相关事项。</w:t>
      </w:r>
    </w:p>
    <w:p>
      <w:pPr>
        <w:widowControl/>
        <w:spacing w:line="580" w:lineRule="exact"/>
        <w:ind w:firstLine="640" w:firstLineChars="200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楷体" w:hAnsi="楷体" w:eastAsia="楷体" w:cs="方正楷体_GBK"/>
          <w:kern w:val="0"/>
          <w:szCs w:val="32"/>
        </w:rPr>
        <w:t>（五）强化监督保障。</w:t>
      </w:r>
      <w:r>
        <w:rPr>
          <w:rFonts w:hint="eastAsia" w:ascii="仿宋_GB2312" w:hAnsi="仿宋_GB2312" w:cs="仿宋_GB2312"/>
          <w:kern w:val="0"/>
          <w:szCs w:val="32"/>
        </w:rPr>
        <w:t>为切实做好政府信息公开工作，东垆乡逐步健全政府信息公开工作机制，充分加强内部监督和外部监督有机结合，将政府信息公开作为日常工作考核内容，拓宽群众监督举报渠道，充分发挥群众监督力量，深化主动公开内容，确保各项工作和措施落实到位。</w:t>
      </w:r>
    </w:p>
    <w:p>
      <w:pPr>
        <w:pStyle w:val="3"/>
        <w:numPr>
          <w:ilvl w:val="0"/>
          <w:numId w:val="1"/>
        </w:numPr>
        <w:spacing w:after="12" w:line="578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主动公开政府信息情况</w:t>
      </w:r>
    </w:p>
    <w:tbl>
      <w:tblPr>
        <w:tblStyle w:val="5"/>
        <w:tblW w:w="92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44"/>
        <w:gridCol w:w="1562"/>
        <w:gridCol w:w="1843"/>
        <w:gridCol w:w="2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9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  <w:jc w:val="center"/>
        </w:trPr>
        <w:tc>
          <w:tcPr>
            <w:tcW w:w="3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1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本年制</w:t>
            </w:r>
            <w:r>
              <w:rPr>
                <w:kern w:val="0"/>
                <w:sz w:val="28"/>
                <w:szCs w:val="28"/>
              </w:rPr>
              <w:br w:type="textWrapping"/>
            </w:r>
            <w:r>
              <w:rPr>
                <w:rFonts w:hint="eastAsia"/>
                <w:kern w:val="0"/>
                <w:sz w:val="28"/>
                <w:szCs w:val="28"/>
              </w:rPr>
              <w:t>发件数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本年</w:t>
            </w:r>
            <w:r>
              <w:rPr>
                <w:rFonts w:hint="eastAsia"/>
                <w:kern w:val="0"/>
                <w:sz w:val="28"/>
                <w:szCs w:val="28"/>
              </w:rPr>
              <w:t>废止</w:t>
            </w:r>
          </w:p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件数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3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规章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3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行政</w:t>
            </w:r>
            <w:r>
              <w:rPr>
                <w:kern w:val="0"/>
                <w:sz w:val="28"/>
                <w:szCs w:val="28"/>
              </w:rPr>
              <w:t>规范性文件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92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3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579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3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9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3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57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3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579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3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行政强制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92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3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  <w:jc w:val="center"/>
        </w:trPr>
        <w:tc>
          <w:tcPr>
            <w:tcW w:w="3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行政事业性收费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</w:tr>
    </w:tbl>
    <w:p>
      <w:pPr>
        <w:widowControl/>
        <w:spacing w:after="240" w:line="600" w:lineRule="exact"/>
        <w:ind w:firstLine="640" w:firstLineChars="200"/>
        <w:rPr>
          <w:rFonts w:ascii="黑体" w:hAnsi="黑体" w:eastAsia="黑体" w:cs="黑体"/>
          <w:kern w:val="0"/>
          <w:szCs w:val="32"/>
        </w:rPr>
      </w:pPr>
    </w:p>
    <w:p>
      <w:pPr>
        <w:widowControl/>
        <w:numPr>
          <w:ilvl w:val="0"/>
          <w:numId w:val="2"/>
        </w:numPr>
        <w:spacing w:after="240" w:line="600" w:lineRule="exact"/>
        <w:ind w:firstLine="640" w:firstLineChars="200"/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收到和处理政府信息公开申请情况</w:t>
      </w:r>
    </w:p>
    <w:p>
      <w:pPr>
        <w:pStyle w:val="2"/>
      </w:pPr>
    </w:p>
    <w:p>
      <w:pPr>
        <w:pStyle w:val="2"/>
      </w:pPr>
    </w:p>
    <w:tbl>
      <w:tblPr>
        <w:tblStyle w:val="5"/>
        <w:tblW w:w="91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8"/>
        <w:gridCol w:w="1232"/>
        <w:gridCol w:w="2062"/>
        <w:gridCol w:w="611"/>
        <w:gridCol w:w="580"/>
        <w:gridCol w:w="623"/>
        <w:gridCol w:w="634"/>
        <w:gridCol w:w="562"/>
        <w:gridCol w:w="631"/>
        <w:gridCol w:w="6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4922" w:type="dxa"/>
            <w:gridSpan w:val="3"/>
            <w:vMerge w:val="restart"/>
            <w:tcBorders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4258" w:type="dxa"/>
            <w:gridSpan w:val="7"/>
            <w:tcBorders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4922" w:type="dxa"/>
            <w:gridSpan w:val="3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自然人</w:t>
            </w:r>
          </w:p>
        </w:tc>
        <w:tc>
          <w:tcPr>
            <w:tcW w:w="3030" w:type="dxa"/>
            <w:gridSpan w:val="5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法人或其他组织</w:t>
            </w:r>
          </w:p>
        </w:tc>
        <w:tc>
          <w:tcPr>
            <w:tcW w:w="617" w:type="dxa"/>
            <w:vMerge w:val="restart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7" w:hRule="atLeast"/>
          <w:jc w:val="center"/>
        </w:trPr>
        <w:tc>
          <w:tcPr>
            <w:tcW w:w="4922" w:type="dxa"/>
            <w:gridSpan w:val="3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商业企业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科研机构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社会公益组织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法律服务机构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其他</w:t>
            </w:r>
          </w:p>
        </w:tc>
        <w:tc>
          <w:tcPr>
            <w:tcW w:w="617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4922" w:type="dxa"/>
            <w:gridSpan w:val="3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4922" w:type="dxa"/>
            <w:gridSpan w:val="3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1628" w:type="dxa"/>
            <w:vMerge w:val="restart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pStyle w:val="3"/>
              <w:rPr>
                <w:kern w:val="0"/>
                <w:sz w:val="28"/>
                <w:szCs w:val="28"/>
              </w:rPr>
            </w:pPr>
          </w:p>
          <w:p>
            <w:pPr>
              <w:pStyle w:val="3"/>
              <w:rPr>
                <w:kern w:val="0"/>
                <w:sz w:val="28"/>
                <w:szCs w:val="28"/>
              </w:rPr>
            </w:pPr>
          </w:p>
          <w:p>
            <w:pPr>
              <w:pStyle w:val="3"/>
              <w:rPr>
                <w:kern w:val="0"/>
                <w:sz w:val="28"/>
                <w:szCs w:val="28"/>
              </w:rPr>
            </w:pPr>
          </w:p>
          <w:p>
            <w:pPr>
              <w:pStyle w:val="3"/>
              <w:rPr>
                <w:kern w:val="0"/>
                <w:sz w:val="28"/>
                <w:szCs w:val="28"/>
              </w:rPr>
            </w:pPr>
          </w:p>
          <w:p>
            <w:pPr>
              <w:pStyle w:val="3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三、本年度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办理结果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pStyle w:val="3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3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3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3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3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3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3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3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3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3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3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3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3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3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3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3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3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三、本年度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办理结果</w:t>
            </w:r>
          </w:p>
        </w:tc>
        <w:tc>
          <w:tcPr>
            <w:tcW w:w="3294" w:type="dxa"/>
            <w:gridSpan w:val="2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（一）予以公开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1628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628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vMerge w:val="restart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（三）不予公开</w:t>
            </w: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属于国家秘密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1628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其他法律行政法规禁止公开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628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危及“三安全一稳定”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628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保护第三方合法权益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628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属于三类内部事务信息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1628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属于四类过程性信息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628" w:type="dxa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属于行政执法案卷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center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属于行政查询事项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  <w:jc w:val="center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（四）无法提供</w:t>
            </w: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本机关不掌握相关政府信息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  <w:jc w:val="center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没有现成信息需要另行制作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补正后申请内容仍不明确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（五）不予处理</w:t>
            </w: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信访举报投诉类申请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重复申请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要求提供公开出版物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无正当理由大量反复申请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  <w:jc w:val="center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要求行政机关确认或重新出具已获取信息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  <w:jc w:val="center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kern w:val="0"/>
                <w:sz w:val="28"/>
                <w:szCs w:val="28"/>
              </w:rPr>
              <w:t>（六）其他处理</w:t>
            </w:r>
          </w:p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1.申请人无正当理由逾期不补正、行政机关不再处理其政府信息公开申请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  <w:jc w:val="center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2.申请人逾期未按收费通知要求缴纳费用、行政机关不再处理其政府信息公开申请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3.其他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（七）总计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4922" w:type="dxa"/>
            <w:gridSpan w:val="3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四、结转下年度继续办理</w:t>
            </w:r>
          </w:p>
        </w:tc>
        <w:tc>
          <w:tcPr>
            <w:tcW w:w="611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80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23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4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2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1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7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四、政府信息公开行政复议、行政诉讼情况</w:t>
      </w:r>
    </w:p>
    <w:tbl>
      <w:tblPr>
        <w:tblStyle w:val="5"/>
        <w:tblW w:w="856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560"/>
        <w:gridCol w:w="590"/>
        <w:gridCol w:w="568"/>
        <w:gridCol w:w="564"/>
        <w:gridCol w:w="585"/>
        <w:gridCol w:w="580"/>
        <w:gridCol w:w="580"/>
        <w:gridCol w:w="530"/>
        <w:gridCol w:w="510"/>
        <w:gridCol w:w="638"/>
        <w:gridCol w:w="582"/>
        <w:gridCol w:w="580"/>
        <w:gridCol w:w="550"/>
        <w:gridCol w:w="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8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行政复议</w:t>
            </w:r>
          </w:p>
        </w:tc>
        <w:tc>
          <w:tcPr>
            <w:tcW w:w="569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结果纠正</w:t>
            </w:r>
          </w:p>
        </w:tc>
        <w:tc>
          <w:tcPr>
            <w:tcW w:w="5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其他结果</w:t>
            </w:r>
          </w:p>
        </w:tc>
        <w:tc>
          <w:tcPr>
            <w:tcW w:w="56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尚未审结</w:t>
            </w:r>
          </w:p>
        </w:tc>
        <w:tc>
          <w:tcPr>
            <w:tcW w:w="56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总计</w:t>
            </w:r>
          </w:p>
        </w:tc>
        <w:tc>
          <w:tcPr>
            <w:tcW w:w="278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未经复议直接起诉</w:t>
            </w:r>
          </w:p>
        </w:tc>
        <w:tc>
          <w:tcPr>
            <w:tcW w:w="29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  <w:jc w:val="center"/>
        </w:trPr>
        <w:tc>
          <w:tcPr>
            <w:tcW w:w="5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结果纠正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其他结果</w:t>
            </w:r>
          </w:p>
        </w:tc>
        <w:tc>
          <w:tcPr>
            <w:tcW w:w="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尚未审结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总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计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结果纠正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其他结果</w:t>
            </w:r>
          </w:p>
        </w:tc>
        <w:tc>
          <w:tcPr>
            <w:tcW w:w="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尚未审结</w:t>
            </w:r>
          </w:p>
        </w:tc>
        <w:tc>
          <w:tcPr>
            <w:tcW w:w="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</w:tr>
    </w:tbl>
    <w:p>
      <w:pPr>
        <w:pStyle w:val="3"/>
        <w:spacing w:line="578" w:lineRule="exact"/>
        <w:ind w:firstLine="640" w:firstLineChars="200"/>
        <w:rPr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五、存在的主要问题及改进情况</w:t>
      </w:r>
    </w:p>
    <w:p>
      <w:pPr>
        <w:pStyle w:val="3"/>
        <w:spacing w:line="578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存在的主要问题有：</w:t>
      </w:r>
    </w:p>
    <w:p>
      <w:pPr>
        <w:spacing w:line="578" w:lineRule="exact"/>
        <w:ind w:firstLine="640" w:firstLineChars="200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  <w:lang w:val="en-US" w:eastAsia="zh-CN"/>
        </w:rPr>
        <w:t>1、</w:t>
      </w:r>
      <w:r>
        <w:rPr>
          <w:rFonts w:ascii="仿宋_GB2312" w:hAnsi="仿宋_GB2312" w:cs="仿宋_GB2312"/>
          <w:kern w:val="0"/>
          <w:szCs w:val="32"/>
        </w:rPr>
        <w:t>部分政府信息公开</w:t>
      </w:r>
      <w:r>
        <w:rPr>
          <w:rFonts w:hint="eastAsia" w:ascii="仿宋_GB2312" w:hAnsi="仿宋_GB2312" w:cs="仿宋_GB2312"/>
          <w:kern w:val="0"/>
          <w:szCs w:val="32"/>
        </w:rPr>
        <w:t>内容简单、质量不高，有待改进。</w:t>
      </w:r>
    </w:p>
    <w:p>
      <w:pPr>
        <w:spacing w:line="578" w:lineRule="exact"/>
        <w:ind w:firstLine="640" w:firstLineChars="200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  <w:lang w:val="en-US" w:eastAsia="zh-CN"/>
        </w:rPr>
        <w:t>2、</w:t>
      </w:r>
      <w:r>
        <w:rPr>
          <w:rFonts w:ascii="仿宋_GB2312" w:hAnsi="仿宋_GB2312" w:cs="仿宋_GB2312"/>
          <w:kern w:val="0"/>
          <w:szCs w:val="32"/>
        </w:rPr>
        <w:t>部分政府信息公开</w:t>
      </w:r>
      <w:r>
        <w:rPr>
          <w:rFonts w:hint="eastAsia" w:ascii="仿宋_GB2312" w:hAnsi="仿宋_GB2312" w:cs="仿宋_GB2312"/>
          <w:kern w:val="0"/>
          <w:szCs w:val="32"/>
        </w:rPr>
        <w:t>有延迟，公开内容不全面、不具体。</w:t>
      </w:r>
    </w:p>
    <w:p>
      <w:pPr>
        <w:spacing w:line="578" w:lineRule="exact"/>
        <w:ind w:firstLine="640" w:firstLineChars="200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  <w:lang w:val="en-US" w:eastAsia="zh-CN"/>
        </w:rPr>
        <w:t>3、</w:t>
      </w:r>
      <w:r>
        <w:rPr>
          <w:rFonts w:hint="eastAsia" w:ascii="仿宋_GB2312" w:hAnsi="仿宋_GB2312" w:cs="仿宋_GB2312"/>
          <w:kern w:val="0"/>
          <w:szCs w:val="32"/>
        </w:rPr>
        <w:t>政府信息公开涉及公众切身利益、需要公众广泛知晓的民生领域、重点领域和政策解读等信息的实用性有待提高。</w:t>
      </w:r>
    </w:p>
    <w:p>
      <w:pPr>
        <w:pStyle w:val="3"/>
        <w:spacing w:line="578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ascii="楷体_GB2312" w:hAnsi="楷体_GB2312" w:eastAsia="楷体_GB2312" w:cs="楷体_GB2312"/>
          <w:sz w:val="32"/>
          <w:szCs w:val="32"/>
        </w:rPr>
        <w:t>改进措施：</w:t>
      </w:r>
    </w:p>
    <w:p>
      <w:pPr>
        <w:spacing w:line="578" w:lineRule="exact"/>
        <w:ind w:firstLine="640" w:firstLineChars="20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1、</w:t>
      </w:r>
      <w:r>
        <w:rPr>
          <w:rFonts w:ascii="仿宋_GB2312" w:hAnsi="仿宋_GB2312" w:cs="仿宋_GB2312"/>
          <w:kern w:val="0"/>
          <w:szCs w:val="32"/>
        </w:rPr>
        <w:t>进一步加大主动公开力度</w:t>
      </w:r>
      <w:r>
        <w:rPr>
          <w:rFonts w:hint="eastAsia" w:ascii="仿宋_GB2312" w:hAnsi="仿宋_GB2312" w:cs="仿宋_GB2312"/>
          <w:kern w:val="0"/>
          <w:szCs w:val="32"/>
        </w:rPr>
        <w:t>。</w:t>
      </w:r>
      <w:r>
        <w:rPr>
          <w:rFonts w:ascii="仿宋_GB2312" w:hAnsi="仿宋_GB2312" w:cs="仿宋_GB2312"/>
          <w:kern w:val="0"/>
          <w:szCs w:val="32"/>
        </w:rPr>
        <w:t>充实公开内容，重点推进与经济社会发展和群众生活密切相关的惠农政策的公开。进一步促进政府信息公开和电子政务工作相结合，不断推进财政预决算和三农政策等信息的公开。进一步加强组织培训</w:t>
      </w:r>
      <w:r>
        <w:rPr>
          <w:rFonts w:hint="eastAsia" w:ascii="仿宋_GB2312" w:hAnsi="仿宋_GB2312" w:cs="仿宋_GB2312"/>
          <w:kern w:val="0"/>
          <w:szCs w:val="32"/>
        </w:rPr>
        <w:t>，</w:t>
      </w:r>
      <w:r>
        <w:rPr>
          <w:rFonts w:ascii="仿宋_GB2312" w:hAnsi="仿宋_GB2312" w:cs="仿宋_GB2312"/>
          <w:kern w:val="0"/>
          <w:szCs w:val="32"/>
        </w:rPr>
        <w:t>对照</w:t>
      </w:r>
      <w:r>
        <w:rPr>
          <w:rFonts w:hint="eastAsia" w:ascii="仿宋_GB2312" w:hAnsi="仿宋_GB2312" w:cs="仿宋_GB2312"/>
          <w:kern w:val="0"/>
          <w:szCs w:val="32"/>
        </w:rPr>
        <w:t>《</w:t>
      </w:r>
      <w:r>
        <w:rPr>
          <w:rFonts w:ascii="仿宋_GB2312" w:hAnsi="仿宋_GB2312" w:cs="仿宋_GB2312"/>
          <w:kern w:val="0"/>
          <w:szCs w:val="32"/>
        </w:rPr>
        <w:t>中华人民共和国政府信息公开条例</w:t>
      </w:r>
      <w:r>
        <w:rPr>
          <w:rFonts w:hint="eastAsia" w:ascii="仿宋_GB2312" w:hAnsi="仿宋_GB2312" w:cs="仿宋_GB2312"/>
          <w:kern w:val="0"/>
          <w:szCs w:val="32"/>
        </w:rPr>
        <w:t>》</w:t>
      </w:r>
      <w:r>
        <w:rPr>
          <w:rFonts w:ascii="仿宋_GB2312" w:hAnsi="仿宋_GB2312" w:cs="仿宋_GB2312"/>
          <w:kern w:val="0"/>
          <w:szCs w:val="32"/>
        </w:rPr>
        <w:t>查缺补漏，建立规范科学的政府信息公开目录，明确政府信息公开内容、方式、渠道和提交方法，确保信息的时效性、准确性和完整性。</w:t>
      </w:r>
    </w:p>
    <w:p>
      <w:pPr>
        <w:spacing w:line="578" w:lineRule="exact"/>
        <w:ind w:firstLine="640" w:firstLineChars="20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2、</w:t>
      </w:r>
      <w:r>
        <w:rPr>
          <w:rFonts w:ascii="仿宋_GB2312" w:hAnsi="仿宋_GB2312" w:cs="仿宋_GB2312"/>
          <w:kern w:val="0"/>
          <w:szCs w:val="32"/>
        </w:rPr>
        <w:t>进一步完善相关制度建设。在现有制度的基础上，建立健全内部信息沟通协调机制，做好网站公众留言答复，信息发布等工作，实现信息公开的制度化，规范化，常态化。</w:t>
      </w:r>
      <w:r>
        <w:rPr>
          <w:rFonts w:hint="eastAsia" w:ascii="仿宋_GB2312" w:hAnsi="仿宋_GB2312" w:cs="仿宋_GB2312"/>
          <w:kern w:val="0"/>
          <w:szCs w:val="32"/>
        </w:rPr>
        <w:t>建立政务</w:t>
      </w:r>
      <w:r>
        <w:rPr>
          <w:rFonts w:ascii="仿宋_GB2312" w:hAnsi="仿宋_GB2312" w:cs="仿宋_GB2312"/>
          <w:kern w:val="0"/>
          <w:szCs w:val="32"/>
        </w:rPr>
        <w:t>信息公开的长效机制，建立责任追究和考核机制，建立信息公开保障机制，切实做好信息公开。</w:t>
      </w:r>
    </w:p>
    <w:p>
      <w:pPr>
        <w:spacing w:line="578" w:lineRule="exact"/>
        <w:ind w:firstLine="640" w:firstLineChars="200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3、</w:t>
      </w:r>
      <w:r>
        <w:rPr>
          <w:rFonts w:ascii="仿宋_GB2312" w:hAnsi="仿宋_GB2312" w:cs="仿宋_GB2312"/>
          <w:kern w:val="0"/>
          <w:szCs w:val="32"/>
        </w:rPr>
        <w:t>进一步加强日常管理工作。继续强化</w:t>
      </w:r>
      <w:r>
        <w:rPr>
          <w:rFonts w:hint="eastAsia" w:ascii="仿宋_GB2312" w:hAnsi="仿宋_GB2312" w:cs="仿宋_GB2312"/>
          <w:kern w:val="0"/>
          <w:szCs w:val="32"/>
        </w:rPr>
        <w:t>由</w:t>
      </w:r>
      <w:r>
        <w:rPr>
          <w:rFonts w:ascii="仿宋_GB2312" w:hAnsi="仿宋_GB2312" w:cs="仿宋_GB2312"/>
          <w:kern w:val="0"/>
          <w:szCs w:val="32"/>
        </w:rPr>
        <w:t>专人负责的信息公开工作，明确工作职责，以服务群众为目的，进一步加强政府信息公开，通过多种渠道进行宣传</w:t>
      </w:r>
      <w:r>
        <w:rPr>
          <w:rFonts w:hint="eastAsia" w:ascii="仿宋_GB2312" w:hAnsi="仿宋_GB2312" w:cs="仿宋_GB2312"/>
          <w:kern w:val="0"/>
          <w:szCs w:val="32"/>
        </w:rPr>
        <w:t>，</w:t>
      </w:r>
      <w:r>
        <w:rPr>
          <w:rFonts w:ascii="仿宋_GB2312" w:hAnsi="仿宋_GB2312" w:cs="仿宋_GB2312"/>
          <w:kern w:val="0"/>
          <w:szCs w:val="32"/>
        </w:rPr>
        <w:t>以提高群众对政府信息公开的知晓率和参与度。在规定的政府信息公开范围内，及时发布和更新依法应主动公开的政府信息，适时梳理信息公开内容，更新行政服务指南，研究制定完善有关制度，扎实推进政府信息公开各项工作。</w:t>
      </w:r>
    </w:p>
    <w:p>
      <w:pPr>
        <w:pStyle w:val="3"/>
        <w:spacing w:line="578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pStyle w:val="3"/>
        <w:spacing w:line="578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无</w:t>
      </w:r>
    </w:p>
    <w:p>
      <w:pPr>
        <w:pStyle w:val="3"/>
        <w:spacing w:line="578" w:lineRule="exact"/>
        <w:ind w:firstLine="640" w:firstLineChars="200"/>
        <w:rPr>
          <w:sz w:val="32"/>
          <w:szCs w:val="32"/>
        </w:rPr>
      </w:pPr>
    </w:p>
    <w:p>
      <w:pPr>
        <w:pStyle w:val="3"/>
        <w:spacing w:line="578" w:lineRule="exact"/>
        <w:ind w:firstLine="640" w:firstLineChars="200"/>
        <w:rPr>
          <w:sz w:val="32"/>
          <w:szCs w:val="32"/>
        </w:rPr>
      </w:pPr>
    </w:p>
    <w:p>
      <w:pPr>
        <w:spacing w:line="578" w:lineRule="exact"/>
        <w:ind w:firstLine="640" w:firstLineChars="200"/>
      </w:pPr>
      <w:r>
        <w:rPr>
          <w:rFonts w:hint="eastAsia"/>
        </w:rPr>
        <w:t xml:space="preserve">                            </w:t>
      </w:r>
      <w:r>
        <w:rPr>
          <w:rFonts w:hint="eastAsia"/>
          <w:spacing w:val="-6"/>
        </w:rPr>
        <w:t xml:space="preserve">  </w:t>
      </w:r>
      <w:r>
        <w:rPr>
          <w:rFonts w:hint="eastAsia"/>
        </w:rPr>
        <w:t>东垆乡</w:t>
      </w:r>
      <w:r>
        <w:t>人民政府</w:t>
      </w:r>
    </w:p>
    <w:p>
      <w:pPr>
        <w:wordWrap w:val="0"/>
        <w:jc w:val="right"/>
      </w:pPr>
      <w:r>
        <w:t>20</w:t>
      </w:r>
      <w:r>
        <w:rPr>
          <w:rFonts w:hint="eastAsia"/>
        </w:rPr>
        <w:t>23</w:t>
      </w:r>
      <w:r>
        <w:t>年</w:t>
      </w:r>
      <w:r>
        <w:rPr>
          <w:rFonts w:hint="eastAsia"/>
        </w:rPr>
        <w:t>1</w:t>
      </w:r>
      <w:r>
        <w:t>月</w:t>
      </w:r>
      <w:r>
        <w:rPr>
          <w:rFonts w:hint="eastAsia"/>
        </w:rPr>
        <w:t>1</w:t>
      </w:r>
      <w:r>
        <w:t>6日</w:t>
      </w:r>
      <w:r>
        <w:rPr>
          <w:rFonts w:hint="eastAsia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44EDAE"/>
    <w:multiLevelType w:val="singleLevel"/>
    <w:tmpl w:val="0B44EDA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1F83277"/>
    <w:multiLevelType w:val="singleLevel"/>
    <w:tmpl w:val="51F8327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wYzMyZDIwMTA0YmY2NGFhNWExNDhiYjAxYzdlZTgifQ=="/>
  </w:docVars>
  <w:rsids>
    <w:rsidRoot w:val="12C45144"/>
    <w:rsid w:val="00D109C3"/>
    <w:rsid w:val="00D5225E"/>
    <w:rsid w:val="028D7AA2"/>
    <w:rsid w:val="05F778BD"/>
    <w:rsid w:val="12C45144"/>
    <w:rsid w:val="1862125A"/>
    <w:rsid w:val="1AE06ED4"/>
    <w:rsid w:val="1C832856"/>
    <w:rsid w:val="1CE31DAA"/>
    <w:rsid w:val="209D7E53"/>
    <w:rsid w:val="253F6FA0"/>
    <w:rsid w:val="320B635A"/>
    <w:rsid w:val="33732D93"/>
    <w:rsid w:val="38C34D55"/>
    <w:rsid w:val="3A6602F2"/>
    <w:rsid w:val="3F6E76AB"/>
    <w:rsid w:val="442216D2"/>
    <w:rsid w:val="468B1DDE"/>
    <w:rsid w:val="49F91321"/>
    <w:rsid w:val="4C4423C2"/>
    <w:rsid w:val="4C612B6D"/>
    <w:rsid w:val="50996A4C"/>
    <w:rsid w:val="58507E2C"/>
    <w:rsid w:val="5AE24500"/>
    <w:rsid w:val="5DB42C29"/>
    <w:rsid w:val="66114CBC"/>
    <w:rsid w:val="6BAF40BF"/>
    <w:rsid w:val="6BED03C5"/>
    <w:rsid w:val="7084268C"/>
    <w:rsid w:val="7A10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both"/>
    </w:pPr>
    <w:rPr>
      <w:rFonts w:ascii="仿宋_GB2312" w:eastAsia="华文中宋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qFormat/>
    <w:uiPriority w:val="0"/>
    <w:pPr>
      <w:widowControl w:val="0"/>
      <w:spacing w:before="100" w:beforeAutospacing="1" w:after="100" w:afterAutospacing="1"/>
    </w:pPr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2735</Words>
  <Characters>2778</Characters>
  <Lines>24</Lines>
  <Paragraphs>6</Paragraphs>
  <TotalTime>1</TotalTime>
  <ScaleCrop>false</ScaleCrop>
  <LinksUpToDate>false</LinksUpToDate>
  <CharactersWithSpaces>2965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2023-01-20T11:35:00Z</dcterms:created>
  <dc:creator>Administrator</dc:creator>
  <cp:lastModifiedBy>Administrator</cp:lastModifiedBy>
  <dcterms:modified xsi:type="dcterms:W3CDTF">2023-02-13T02:13:19Z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5F2277A44A424854B9B85332C3926000</vt:lpwstr>
  </property>
</Properties>
</file>