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芮城县乡镇行政执法赋权事项清单的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执法区域划分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一、关于县城中心城区内县直部门与古魏镇的执法区域划分。古魏镇作为县人民政府所在地，地理区域包括县城中心城区和21个行政村。县城中心城区范围：东至东环路，南至工业街，西至刘原村口，北至永乐宫。本次下放的赋权事项，在中心城区范围以内仍由原执法部门行使，在中心城区范围以外由古魏镇人民政府行使，但涉及中心城区内的东关村、南关村、西关村、北关村、庙底村、城南村、华岳村、令花村、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南村等村级管辖区域内的有关执法事项，即第2、4、5、6、7、8、9、10、14、15、16、18、24、25、29共15项，由古魏镇人民政府行使。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二、关于风陵渡经济开发区和风陵渡镇的执法区域划分。风陵渡镇是风陵渡经济开发区所在地，地理区域包括风陵渡经济开发区及34个行政村。在风陵渡经济开发区建成区内，赋权事项仍由原执法部门继续行使，在34个行政村村级管辖区域内，赋权事项由风陵渡镇人民政府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三、陌南镇、西陌镇、东垆乡、南磑镇、学张乡、永乐镇、阳城镇、大王镇等8个乡镇人民政府，行使县直部门下放的55项赋权事项。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、关于公路执法事项的区域划分。第19、20、21、22中所涉及的公路执法事项，国道、省道和县道仍由原执法部门行使，乡道和村道由各乡镇人民政府行使。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五、赋权事项中涉及芮城县规上企业的行政执法职权，仍由原执法部门行使。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420" w:firstLineChars="200"/>
        <w:jc w:val="both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64"/>
  <w:drawingGridVerticalSpacing w:val="3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12C6B"/>
    <w:rsid w:val="2E591D52"/>
    <w:rsid w:val="3E160368"/>
    <w:rsid w:val="69D53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561</Characters>
  <Lines>0</Lines>
  <Paragraphs>0</Paragraphs>
  <TotalTime>9</TotalTime>
  <ScaleCrop>false</ScaleCrop>
  <LinksUpToDate>false</LinksUpToDate>
  <CharactersWithSpaces>561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2022-11-01T22:57:00Z</dcterms:created>
  <dc:creator>李姣</dc:creator>
  <cp:lastModifiedBy>Administrator</cp:lastModifiedBy>
  <cp:lastPrinted>2022-11-01T09:05:04Z</cp:lastPrinted>
  <dcterms:modified xsi:type="dcterms:W3CDTF">2022-11-01T10:32:34Z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12AD9DE3657A41539BB0AA626E966176</vt:lpwstr>
  </property>
</Properties>
</file>