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before="0" w:beforeLines="0" w:after="0" w:afterLines="0" w:line="578" w:lineRule="exact"/>
        <w:ind w:left="0" w:leftChars="0" w:right="0" w:rightChars="0"/>
        <w:textAlignment w:val="auto"/>
        <w:outlineLvl w:val="9"/>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mc:AlternateContent>
          <mc:Choice Requires="wps">
            <w:drawing>
              <wp:anchor distT="0" distB="0" distL="114300" distR="114300" simplePos="0" relativeHeight="251659264" behindDoc="0" locked="1" layoutInCell="1" allowOverlap="1">
                <wp:simplePos x="0" y="0"/>
                <wp:positionH relativeFrom="column">
                  <wp:align>center</wp:align>
                </wp:positionH>
                <wp:positionV relativeFrom="page">
                  <wp:posOffset>1842135</wp:posOffset>
                </wp:positionV>
                <wp:extent cx="5619115" cy="400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19115" cy="40005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top:145.05pt;height:31.5pt;width:442.45pt;mso-position-horizontal:center;mso-position-vertical-relative:page;z-index:251659264;mso-width-relative:page;mso-height-relative:page;" filled="f" stroked="f" coordsize="21600,21600" o:gfxdata="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sqjX2AAAAAgBAAAPAAAAAAAAAAEAIAAAACIAAABkcnMvZG93bnJldi54bWxQSwEC&#10;FAAUAAAACACHTuJAKhYiJbsBAAByAwAADgAAAAAAAAABACAAAAAnAQAAZHJzL2Uyb0RvYy54bWxQ&#10;SwUGAAAAAAYABgBZAQAAVAUAAAAA&#10;">
                <v:fill on="f" focussize="0,0"/>
                <v:stroke on="f"/>
                <v:imagedata o:title=""/>
                <o:lock v:ext="edit" aspectratio="f"/>
                <v:textbox inset="0mm,0mm,0mm,0mm">
                  <w:txbxContent>
                    <w:p/>
                  </w:txbxContent>
                </v:textbox>
                <w10:anchorlock/>
              </v:shape>
            </w:pict>
          </mc:Fallback>
        </mc:AlternateContent>
      </w:r>
    </w:p>
    <w:p>
      <w:pPr>
        <w:keepNext w:val="0"/>
        <w:keepLines w:val="0"/>
        <w:pageBreakBefore w:val="0"/>
        <w:widowControl w:val="0"/>
        <w:kinsoku/>
        <w:wordWrap/>
        <w:overflowPunct/>
        <w:topLinePunct w:val="0"/>
        <w:autoSpaceDE/>
        <w:autoSpaceDN/>
        <w:adjustRightInd/>
        <w:snapToGrid/>
        <w:spacing w:before="0" w:beforeLines="0" w:after="0" w:afterLines="0" w:line="578" w:lineRule="exact"/>
        <w:ind w:left="0" w:leftChars="0" w:right="0" w:rightChars="0"/>
        <w:textAlignment w:val="auto"/>
        <w:outlineLvl w:val="9"/>
        <w:rPr>
          <w:rFonts w:hint="default" w:ascii="Times New Roman" w:hAnsi="Times New Roman" w:eastAsia="仿宋_GB2312" w:cs="Times New Roman"/>
          <w:color w:val="auto"/>
          <w:kern w:val="2"/>
          <w:sz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cs="Times New Roman"/>
          <w:color w:val="auto"/>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0"/>
          <w:sz w:val="44"/>
          <w:szCs w:val="44"/>
          <w:highlight w:val="none"/>
          <w:shd w:val="clear" w:color="auto" w:fill="auto"/>
        </w:rPr>
      </w:pPr>
      <w:r>
        <w:rPr>
          <w:rFonts w:hint="eastAsia" w:eastAsia="方正小标宋简体" w:cs="Times New Roman"/>
          <w:color w:val="auto"/>
          <w:spacing w:val="0"/>
          <w:sz w:val="44"/>
          <w:szCs w:val="44"/>
          <w:highlight w:val="none"/>
          <w:shd w:val="clear" w:color="auto" w:fill="auto"/>
          <w:lang w:eastAsia="zh-CN"/>
        </w:rPr>
        <w:t>学张乡</w:t>
      </w:r>
      <w:r>
        <w:rPr>
          <w:rFonts w:hint="default" w:ascii="Times New Roman" w:hAnsi="Times New Roman" w:eastAsia="方正小标宋简体" w:cs="Times New Roman"/>
          <w:color w:val="auto"/>
          <w:spacing w:val="0"/>
          <w:sz w:val="44"/>
          <w:szCs w:val="44"/>
          <w:highlight w:val="none"/>
          <w:shd w:val="clear" w:color="auto" w:fill="auto"/>
        </w:rPr>
        <w:t>人民政府</w:t>
      </w:r>
    </w:p>
    <w:p>
      <w:pPr>
        <w:pStyle w:val="3"/>
        <w:ind w:left="0" w:leftChars="0" w:right="0" w:rightChars="0" w:firstLine="0" w:firstLineChars="0"/>
        <w:jc w:val="center"/>
        <w:rPr>
          <w:rFonts w:hint="default"/>
          <w:color w:val="auto"/>
          <w:sz w:val="44"/>
          <w:szCs w:val="44"/>
          <w:highlight w:val="none"/>
          <w:shd w:val="clear" w:color="auto" w:fill="auto"/>
          <w:lang w:val="en-US" w:eastAsia="zh-CN"/>
        </w:rPr>
      </w:pPr>
      <w:r>
        <w:rPr>
          <w:rFonts w:hint="eastAsia" w:ascii="方正小标宋简体" w:hAnsi="方正小标宋简体" w:eastAsia="方正小标宋简体" w:cs="方正小标宋简体"/>
          <w:color w:val="auto"/>
          <w:spacing w:val="0"/>
          <w:sz w:val="44"/>
          <w:szCs w:val="44"/>
          <w:highlight w:val="none"/>
          <w:shd w:val="clear" w:color="auto" w:fill="auto"/>
        </w:rPr>
        <w:t>202</w:t>
      </w:r>
      <w:r>
        <w:rPr>
          <w:rFonts w:hint="eastAsia" w:ascii="方正小标宋简体" w:hAnsi="方正小标宋简体" w:eastAsia="方正小标宋简体" w:cs="方正小标宋简体"/>
          <w:color w:val="auto"/>
          <w:spacing w:val="0"/>
          <w:sz w:val="44"/>
          <w:szCs w:val="44"/>
          <w:highlight w:val="none"/>
          <w:shd w:val="clear" w:color="auto" w:fill="auto"/>
          <w:lang w:val="en-US" w:eastAsia="zh-CN"/>
        </w:rPr>
        <w:t>2</w:t>
      </w:r>
      <w:r>
        <w:rPr>
          <w:rFonts w:hint="eastAsia" w:ascii="方正小标宋简体" w:hAnsi="方正小标宋简体" w:eastAsia="方正小标宋简体" w:cs="方正小标宋简体"/>
          <w:color w:val="auto"/>
          <w:spacing w:val="0"/>
          <w:sz w:val="44"/>
          <w:szCs w:val="44"/>
          <w:highlight w:val="none"/>
          <w:shd w:val="clear" w:color="auto" w:fill="auto"/>
        </w:rPr>
        <w:t>年政府信息公开工作年度报告</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color w:val="auto"/>
          <w:sz w:val="32"/>
          <w:szCs w:val="32"/>
          <w:highlight w:val="none"/>
          <w:shd w:val="clear" w:color="auto" w:fill="auto"/>
          <w:lang w:eastAsia="zh-CN"/>
        </w:rPr>
      </w:pPr>
    </w:p>
    <w:p>
      <w:pPr>
        <w:pStyle w:val="3"/>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根据《中华人民共和国政府信息公开条例》和国务院办公厅政府信息与政务公开办公室《关于政府信息公开工作年度报告有关事项的通知》要求，现公布芮城县</w:t>
      </w:r>
      <w:r>
        <w:rPr>
          <w:rFonts w:hint="eastAsia" w:cs="Times New Roman"/>
          <w:color w:val="auto"/>
          <w:sz w:val="32"/>
          <w:szCs w:val="32"/>
          <w:highlight w:val="none"/>
          <w:shd w:val="clear" w:color="auto" w:fill="auto"/>
          <w:lang w:eastAsia="zh-CN"/>
        </w:rPr>
        <w:t>学张乡</w:t>
      </w:r>
      <w:r>
        <w:rPr>
          <w:rFonts w:hint="default" w:ascii="Times New Roman" w:hAnsi="Times New Roman" w:eastAsia="仿宋_GB2312" w:cs="Times New Roman"/>
          <w:color w:val="auto"/>
          <w:sz w:val="32"/>
          <w:szCs w:val="32"/>
          <w:highlight w:val="none"/>
          <w:shd w:val="clear" w:color="auto" w:fill="auto"/>
          <w:lang w:eastAsia="zh-CN"/>
        </w:rPr>
        <w:t>人民政府202</w:t>
      </w:r>
      <w:r>
        <w:rPr>
          <w:rFonts w:hint="eastAsia"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eastAsia="zh-CN"/>
        </w:rPr>
        <w:t>年政府信息公开工作年度报告。本报告由总体情况、主动公开政府信息情况、收到和处理政府信息公开申请情况、政府信息公开行政复议及行政诉讼情况、存在的主要问题及改进情况、其他需要报告的事项六部分组成，所列数据统计时限为202</w:t>
      </w:r>
      <w:r>
        <w:rPr>
          <w:rFonts w:hint="eastAsia"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eastAsia="zh-CN"/>
        </w:rPr>
        <w:t>年1月1日至202</w:t>
      </w:r>
      <w:r>
        <w:rPr>
          <w:rFonts w:hint="eastAsia"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eastAsia="zh-CN"/>
        </w:rPr>
        <w:t xml:space="preserve">年12月31日。本报告的电子版可在芮城县人民政府门户网站（www.rcx.gov.cn）下载。 </w:t>
      </w:r>
    </w:p>
    <w:p>
      <w:pPr>
        <w:pStyle w:val="3"/>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 xml:space="preserve"> </w:t>
      </w:r>
      <w:r>
        <w:rPr>
          <w:rFonts w:hint="default" w:ascii="黑体" w:hAnsi="黑体" w:eastAsia="黑体" w:cs="黑体"/>
          <w:color w:val="auto"/>
          <w:sz w:val="32"/>
          <w:szCs w:val="32"/>
          <w:highlight w:val="none"/>
          <w:shd w:val="clear" w:color="auto" w:fill="auto"/>
          <w:lang w:eastAsia="zh-CN"/>
        </w:rPr>
        <w:t>一、总体情况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bidi="ar-SA"/>
        </w:rPr>
      </w:pPr>
      <w:r>
        <w:rPr>
          <w:rFonts w:hint="eastAsia" w:ascii="仿宋_GB2312" w:hAnsi="仿宋_GB2312" w:eastAsia="仿宋_GB2312" w:cs="仿宋_GB2312"/>
          <w:color w:val="auto"/>
          <w:sz w:val="32"/>
          <w:szCs w:val="32"/>
          <w:highlight w:val="none"/>
          <w:shd w:val="clear" w:color="auto" w:fill="auto"/>
          <w:lang w:bidi="ar-SA"/>
        </w:rPr>
        <w:t>学张乡政府认真落实党中央国务院、省委</w:t>
      </w:r>
      <w:r>
        <w:rPr>
          <w:rFonts w:hint="eastAsia" w:ascii="仿宋_GB2312" w:hAnsi="仿宋_GB2312" w:cs="仿宋_GB2312"/>
          <w:color w:val="auto"/>
          <w:sz w:val="32"/>
          <w:szCs w:val="32"/>
          <w:highlight w:val="none"/>
          <w:shd w:val="clear" w:color="auto" w:fill="auto"/>
          <w:lang w:eastAsia="zh-CN" w:bidi="ar-SA"/>
        </w:rPr>
        <w:t>、</w:t>
      </w:r>
      <w:r>
        <w:rPr>
          <w:rFonts w:hint="eastAsia" w:ascii="仿宋_GB2312" w:hAnsi="仿宋_GB2312" w:eastAsia="仿宋_GB2312" w:cs="仿宋_GB2312"/>
          <w:color w:val="auto"/>
          <w:sz w:val="32"/>
          <w:szCs w:val="32"/>
          <w:highlight w:val="none"/>
          <w:shd w:val="clear" w:color="auto" w:fill="auto"/>
          <w:lang w:bidi="ar-SA"/>
        </w:rPr>
        <w:t>省政府</w:t>
      </w:r>
      <w:r>
        <w:rPr>
          <w:rFonts w:hint="eastAsia" w:ascii="仿宋_GB2312" w:hAnsi="仿宋_GB2312" w:eastAsia="仿宋_GB2312" w:cs="仿宋_GB2312"/>
          <w:color w:val="auto"/>
          <w:sz w:val="32"/>
          <w:szCs w:val="32"/>
          <w:highlight w:val="none"/>
          <w:shd w:val="clear" w:color="auto" w:fill="auto"/>
          <w:lang w:eastAsia="zh-CN" w:bidi="ar-SA"/>
        </w:rPr>
        <w:t>、</w:t>
      </w:r>
      <w:r>
        <w:rPr>
          <w:rFonts w:hint="eastAsia" w:ascii="仿宋_GB2312" w:hAnsi="仿宋_GB2312" w:eastAsia="仿宋_GB2312" w:cs="仿宋_GB2312"/>
          <w:color w:val="auto"/>
          <w:sz w:val="32"/>
          <w:szCs w:val="32"/>
          <w:highlight w:val="none"/>
          <w:shd w:val="clear" w:color="auto" w:fill="auto"/>
          <w:lang w:bidi="ar-SA"/>
        </w:rPr>
        <w:t>市委</w:t>
      </w:r>
      <w:r>
        <w:rPr>
          <w:rFonts w:hint="eastAsia" w:ascii="仿宋_GB2312" w:hAnsi="仿宋_GB2312" w:cs="仿宋_GB2312"/>
          <w:color w:val="auto"/>
          <w:sz w:val="32"/>
          <w:szCs w:val="32"/>
          <w:highlight w:val="none"/>
          <w:shd w:val="clear" w:color="auto" w:fill="auto"/>
          <w:lang w:eastAsia="zh-CN" w:bidi="ar-SA"/>
        </w:rPr>
        <w:t>、</w:t>
      </w:r>
      <w:r>
        <w:rPr>
          <w:rFonts w:hint="eastAsia" w:ascii="仿宋_GB2312" w:hAnsi="仿宋_GB2312" w:eastAsia="仿宋_GB2312" w:cs="仿宋_GB2312"/>
          <w:color w:val="auto"/>
          <w:sz w:val="32"/>
          <w:szCs w:val="32"/>
          <w:highlight w:val="none"/>
          <w:shd w:val="clear" w:color="auto" w:fill="auto"/>
          <w:lang w:bidi="ar-SA"/>
        </w:rPr>
        <w:t>市政府</w:t>
      </w:r>
      <w:r>
        <w:rPr>
          <w:rFonts w:hint="eastAsia" w:ascii="仿宋_GB2312" w:hAnsi="仿宋_GB2312" w:eastAsia="仿宋_GB2312" w:cs="仿宋_GB2312"/>
          <w:color w:val="auto"/>
          <w:sz w:val="32"/>
          <w:szCs w:val="32"/>
          <w:highlight w:val="none"/>
          <w:shd w:val="clear" w:color="auto" w:fill="auto"/>
          <w:lang w:eastAsia="zh-CN" w:bidi="ar-SA"/>
        </w:rPr>
        <w:t>及县委</w:t>
      </w:r>
      <w:r>
        <w:rPr>
          <w:rFonts w:hint="eastAsia" w:ascii="仿宋_GB2312" w:hAnsi="仿宋_GB2312" w:cs="仿宋_GB2312"/>
          <w:color w:val="auto"/>
          <w:sz w:val="32"/>
          <w:szCs w:val="32"/>
          <w:highlight w:val="none"/>
          <w:shd w:val="clear" w:color="auto" w:fill="auto"/>
          <w:lang w:eastAsia="zh-CN" w:bidi="ar-SA"/>
        </w:rPr>
        <w:t>、</w:t>
      </w:r>
      <w:r>
        <w:rPr>
          <w:rFonts w:hint="eastAsia" w:ascii="仿宋_GB2312" w:hAnsi="仿宋_GB2312" w:eastAsia="仿宋_GB2312" w:cs="仿宋_GB2312"/>
          <w:color w:val="auto"/>
          <w:sz w:val="32"/>
          <w:szCs w:val="32"/>
          <w:highlight w:val="none"/>
          <w:shd w:val="clear" w:color="auto" w:fill="auto"/>
          <w:lang w:eastAsia="zh-CN" w:bidi="ar-SA"/>
        </w:rPr>
        <w:t>县政府</w:t>
      </w:r>
      <w:r>
        <w:rPr>
          <w:rFonts w:hint="eastAsia" w:ascii="仿宋_GB2312" w:hAnsi="仿宋_GB2312" w:eastAsia="仿宋_GB2312" w:cs="仿宋_GB2312"/>
          <w:color w:val="auto"/>
          <w:sz w:val="32"/>
          <w:szCs w:val="32"/>
          <w:highlight w:val="none"/>
          <w:shd w:val="clear" w:color="auto" w:fill="auto"/>
          <w:lang w:bidi="ar-SA"/>
        </w:rPr>
        <w:t>关于全面推进基层政务公开标准化规范化工作的决策部署，以保障人民群众知情权、参与权和表达权为目标，以深化改革为动力，以服务民生、改善民生、保障民生为重点，创新公开载体，拓展公开领域，努力建设服务型</w:t>
      </w:r>
      <w:r>
        <w:rPr>
          <w:rFonts w:hint="eastAsia" w:ascii="仿宋_GB2312" w:hAnsi="仿宋_GB2312" w:cs="仿宋_GB2312"/>
          <w:color w:val="auto"/>
          <w:sz w:val="32"/>
          <w:szCs w:val="32"/>
          <w:highlight w:val="none"/>
          <w:shd w:val="clear" w:color="auto" w:fill="auto"/>
          <w:lang w:eastAsia="zh-CN" w:bidi="ar-SA"/>
        </w:rPr>
        <w:t>政府</w:t>
      </w:r>
      <w:r>
        <w:rPr>
          <w:rFonts w:hint="eastAsia" w:ascii="仿宋_GB2312" w:hAnsi="仿宋_GB2312" w:eastAsia="仿宋_GB2312" w:cs="仿宋_GB2312"/>
          <w:color w:val="auto"/>
          <w:sz w:val="32"/>
          <w:szCs w:val="32"/>
          <w:highlight w:val="none"/>
          <w:shd w:val="clear" w:color="auto" w:fill="auto"/>
          <w:lang w:bidi="ar-SA"/>
        </w:rPr>
        <w:t>，不断提升政务公开标准化、规范化水平</w:t>
      </w:r>
      <w:r>
        <w:rPr>
          <w:rFonts w:hint="eastAsia" w:ascii="仿宋_GB2312" w:hAnsi="仿宋_GB2312" w:eastAsia="仿宋_GB2312" w:cs="仿宋_GB2312"/>
          <w:color w:val="auto"/>
          <w:sz w:val="32"/>
          <w:szCs w:val="32"/>
          <w:highlight w:val="none"/>
          <w:shd w:val="clear" w:color="auto" w:fill="auto"/>
          <w:lang w:eastAsia="zh-CN" w:bidi="ar-SA"/>
        </w:rPr>
        <w:t>。本年度在政务公开专区累计公开便民相关办事流程介绍共</w:t>
      </w:r>
      <w:r>
        <w:rPr>
          <w:rFonts w:hint="eastAsia" w:ascii="仿宋_GB2312" w:hAnsi="仿宋_GB2312" w:eastAsia="仿宋_GB2312" w:cs="仿宋_GB2312"/>
          <w:color w:val="auto"/>
          <w:sz w:val="32"/>
          <w:szCs w:val="32"/>
          <w:highlight w:val="none"/>
          <w:shd w:val="clear" w:color="auto" w:fill="auto"/>
          <w:lang w:val="en-US" w:eastAsia="zh-CN" w:bidi="ar-SA"/>
        </w:rPr>
        <w:t>4份，在</w:t>
      </w:r>
      <w:r>
        <w:rPr>
          <w:rFonts w:hint="eastAsia" w:ascii="仿宋_GB2312" w:hAnsi="仿宋_GB2312" w:cs="仿宋_GB2312"/>
          <w:color w:val="auto"/>
          <w:sz w:val="32"/>
          <w:szCs w:val="32"/>
          <w:highlight w:val="none"/>
          <w:shd w:val="clear" w:color="auto" w:fill="auto"/>
          <w:lang w:val="en-US" w:eastAsia="zh-CN" w:bidi="ar-SA"/>
        </w:rPr>
        <w:t>县政府门户网站</w:t>
      </w:r>
      <w:r>
        <w:rPr>
          <w:rFonts w:hint="eastAsia" w:ascii="仿宋_GB2312" w:hAnsi="仿宋_GB2312" w:eastAsia="仿宋_GB2312" w:cs="仿宋_GB2312"/>
          <w:color w:val="auto"/>
          <w:kern w:val="0"/>
          <w:sz w:val="32"/>
          <w:szCs w:val="32"/>
          <w:highlight w:val="none"/>
          <w:shd w:val="clear" w:color="auto" w:fill="auto"/>
          <w:lang w:val="en-US" w:eastAsia="zh-CN" w:bidi="ar-SA"/>
        </w:rPr>
        <w:t>（www.rcx.gov.cn）乡镇专区</w:t>
      </w:r>
      <w:r>
        <w:rPr>
          <w:rFonts w:hint="eastAsia" w:ascii="仿宋_GB2312" w:hAnsi="仿宋_GB2312" w:eastAsia="仿宋_GB2312" w:cs="仿宋_GB2312"/>
          <w:color w:val="auto"/>
          <w:sz w:val="32"/>
          <w:szCs w:val="32"/>
          <w:highlight w:val="none"/>
          <w:shd w:val="clear" w:color="auto" w:fill="auto"/>
          <w:lang w:eastAsia="zh-CN" w:bidi="ar-SA"/>
        </w:rPr>
        <w:t>公开机构设置</w:t>
      </w:r>
      <w:r>
        <w:rPr>
          <w:rFonts w:hint="eastAsia" w:ascii="仿宋_GB2312" w:hAnsi="仿宋_GB2312" w:eastAsia="仿宋_GB2312" w:cs="仿宋_GB2312"/>
          <w:color w:val="auto"/>
          <w:sz w:val="32"/>
          <w:szCs w:val="32"/>
          <w:highlight w:val="none"/>
          <w:shd w:val="clear" w:color="auto" w:fill="auto"/>
          <w:lang w:val="en-US" w:eastAsia="zh-CN" w:bidi="ar-SA"/>
        </w:rPr>
        <w:t>1条、更新领导班子分工1条、财政信息1条、部门信息公开1条累计共4条，</w:t>
      </w:r>
      <w:r>
        <w:rPr>
          <w:rFonts w:hint="eastAsia" w:ascii="仿宋_GB2312" w:hAnsi="仿宋_GB2312" w:eastAsia="仿宋_GB2312" w:cs="仿宋_GB2312"/>
          <w:i w:val="0"/>
          <w:iCs w:val="0"/>
          <w:caps w:val="0"/>
          <w:color w:val="auto"/>
          <w:spacing w:val="0"/>
          <w:sz w:val="32"/>
          <w:szCs w:val="32"/>
          <w:highlight w:val="none"/>
          <w:shd w:val="clear" w:color="auto" w:fill="auto"/>
          <w:lang w:bidi="ar-SA"/>
        </w:rPr>
        <w:t>运城12345热线转办事项</w:t>
      </w:r>
      <w:r>
        <w:rPr>
          <w:rFonts w:hint="eastAsia" w:ascii="仿宋_GB2312" w:hAnsi="仿宋_GB2312" w:cs="仿宋_GB2312"/>
          <w:i w:val="0"/>
          <w:iCs w:val="0"/>
          <w:caps w:val="0"/>
          <w:color w:val="auto"/>
          <w:spacing w:val="0"/>
          <w:sz w:val="32"/>
          <w:szCs w:val="32"/>
          <w:highlight w:val="none"/>
          <w:shd w:val="clear" w:color="auto" w:fill="auto"/>
          <w:lang w:val="en-US" w:eastAsia="zh-CN" w:bidi="ar-SA"/>
        </w:rPr>
        <w:t>86</w:t>
      </w:r>
      <w:r>
        <w:rPr>
          <w:rFonts w:hint="eastAsia" w:ascii="仿宋_GB2312" w:hAnsi="仿宋_GB2312" w:eastAsia="仿宋_GB2312" w:cs="仿宋_GB2312"/>
          <w:i w:val="0"/>
          <w:iCs w:val="0"/>
          <w:caps w:val="0"/>
          <w:color w:val="auto"/>
          <w:spacing w:val="0"/>
          <w:sz w:val="32"/>
          <w:szCs w:val="32"/>
          <w:highlight w:val="none"/>
          <w:shd w:val="clear" w:color="auto" w:fill="auto"/>
          <w:lang w:bidi="ar-SA"/>
        </w:rPr>
        <w:t>件</w:t>
      </w:r>
      <w:r>
        <w:rPr>
          <w:rFonts w:hint="eastAsia" w:ascii="仿宋_GB2312" w:hAnsi="仿宋_GB2312" w:cs="仿宋_GB2312"/>
          <w:i w:val="0"/>
          <w:iCs w:val="0"/>
          <w:caps w:val="0"/>
          <w:color w:val="auto"/>
          <w:spacing w:val="0"/>
          <w:sz w:val="32"/>
          <w:szCs w:val="32"/>
          <w:highlight w:val="none"/>
          <w:shd w:val="clear" w:color="auto" w:fill="auto"/>
          <w:lang w:eastAsia="zh-CN" w:bidi="ar-SA"/>
        </w:rPr>
        <w:t>，群众满意度达到</w:t>
      </w:r>
      <w:r>
        <w:rPr>
          <w:rFonts w:hint="eastAsia" w:ascii="仿宋_GB2312" w:hAnsi="仿宋_GB2312" w:cs="仿宋_GB2312"/>
          <w:i w:val="0"/>
          <w:iCs w:val="0"/>
          <w:caps w:val="0"/>
          <w:color w:val="auto"/>
          <w:spacing w:val="0"/>
          <w:sz w:val="32"/>
          <w:szCs w:val="32"/>
          <w:highlight w:val="none"/>
          <w:shd w:val="clear" w:color="auto" w:fill="auto"/>
          <w:lang w:val="en-US" w:eastAsia="zh-CN" w:bidi="ar-SA"/>
        </w:rPr>
        <w:t>98.2%</w:t>
      </w:r>
      <w:r>
        <w:rPr>
          <w:rFonts w:hint="eastAsia" w:ascii="仿宋_GB2312" w:hAnsi="仿宋_GB2312" w:eastAsia="仿宋_GB2312" w:cs="仿宋_GB2312"/>
          <w:color w:val="auto"/>
          <w:sz w:val="32"/>
          <w:szCs w:val="32"/>
          <w:highlight w:val="none"/>
          <w:shd w:val="clear" w:color="auto" w:fill="auto"/>
          <w:lang w:bidi="ar-SA"/>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color w:val="auto"/>
          <w:sz w:val="32"/>
          <w:szCs w:val="32"/>
          <w:highlight w:val="none"/>
          <w:shd w:val="clear" w:color="auto" w:fill="auto"/>
          <w:lang w:bidi="ar-SA"/>
        </w:rPr>
      </w:pPr>
      <w:r>
        <w:rPr>
          <w:rFonts w:hint="eastAsia" w:ascii="仿宋_GB2312" w:hAnsi="仿宋_GB2312" w:eastAsia="仿宋_GB2312" w:cs="仿宋_GB2312"/>
          <w:b/>
          <w:bCs/>
          <w:color w:val="auto"/>
          <w:sz w:val="32"/>
          <w:szCs w:val="32"/>
          <w:highlight w:val="none"/>
          <w:shd w:val="clear" w:color="auto" w:fill="auto"/>
          <w:lang w:bidi="ar-SA"/>
        </w:rPr>
        <w:t>（一）规范主动公开流程</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highlight w:val="none"/>
          <w:shd w:val="clear" w:color="auto" w:fill="auto"/>
          <w:lang w:bidi="ar-SA"/>
        </w:rPr>
      </w:pPr>
      <w:r>
        <w:rPr>
          <w:rFonts w:hint="eastAsia" w:ascii="仿宋_GB2312" w:hAnsi="仿宋_GB2312" w:eastAsia="仿宋_GB2312" w:cs="仿宋_GB2312"/>
          <w:b/>
          <w:bCs/>
          <w:color w:val="auto"/>
          <w:sz w:val="32"/>
          <w:szCs w:val="32"/>
          <w:highlight w:val="none"/>
          <w:shd w:val="clear" w:color="auto" w:fill="auto"/>
          <w:lang w:bidi="ar-SA"/>
        </w:rPr>
        <w:t>1．抓好属性源头认定。</w:t>
      </w:r>
      <w:r>
        <w:rPr>
          <w:rFonts w:hint="eastAsia" w:ascii="仿宋_GB2312" w:hAnsi="仿宋_GB2312" w:eastAsia="仿宋_GB2312" w:cs="仿宋_GB2312"/>
          <w:color w:val="auto"/>
          <w:sz w:val="32"/>
          <w:szCs w:val="32"/>
          <w:highlight w:val="none"/>
          <w:shd w:val="clear" w:color="auto" w:fill="auto"/>
          <w:lang w:bidi="ar-SA"/>
        </w:rPr>
        <w:t>为规范拟发公文公开属性认定，依照县政府要求，法定主动公开内容除依法涉密之外全部公开，</w:t>
      </w:r>
      <w:r>
        <w:rPr>
          <w:rFonts w:hint="eastAsia" w:ascii="仿宋_GB2312" w:hAnsi="仿宋_GB2312" w:eastAsia="仿宋_GB2312" w:cs="仿宋_GB2312"/>
          <w:color w:val="auto"/>
          <w:sz w:val="32"/>
          <w:szCs w:val="32"/>
          <w:highlight w:val="none"/>
          <w:shd w:val="clear" w:color="auto" w:fill="auto"/>
          <w:lang w:eastAsia="zh-CN" w:bidi="ar-SA"/>
        </w:rPr>
        <w:t>依政策发文前填写并审核信息发布卡，</w:t>
      </w:r>
      <w:r>
        <w:rPr>
          <w:rFonts w:hint="eastAsia" w:ascii="仿宋_GB2312" w:hAnsi="仿宋_GB2312" w:eastAsia="仿宋_GB2312" w:cs="仿宋_GB2312"/>
          <w:color w:val="auto"/>
          <w:sz w:val="32"/>
          <w:szCs w:val="32"/>
          <w:highlight w:val="none"/>
          <w:shd w:val="clear" w:color="auto" w:fill="auto"/>
          <w:lang w:bidi="ar-SA"/>
        </w:rPr>
        <w:t>并立即更换旧版政府网站信息发文卡，将发文卡中新设公开属性类别，严控依申请公开、不予公开属性的滥用。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highlight w:val="none"/>
          <w:shd w:val="clear" w:color="auto" w:fill="auto"/>
          <w:lang w:bidi="ar-SA"/>
        </w:rPr>
      </w:pPr>
      <w:r>
        <w:rPr>
          <w:rFonts w:hint="eastAsia" w:ascii="仿宋_GB2312" w:hAnsi="仿宋_GB2312" w:eastAsia="仿宋_GB2312" w:cs="仿宋_GB2312"/>
          <w:color w:val="auto"/>
          <w:sz w:val="32"/>
          <w:szCs w:val="32"/>
          <w:highlight w:val="none"/>
          <w:shd w:val="clear" w:color="auto" w:fill="auto"/>
          <w:lang w:bidi="ar-SA"/>
        </w:rPr>
        <w:t>建立健全文件属性动态调整机制，每年对属性</w:t>
      </w:r>
      <w:r>
        <w:rPr>
          <w:rFonts w:hint="eastAsia" w:ascii="仿宋_GB2312" w:hAnsi="仿宋_GB2312" w:cs="仿宋_GB2312"/>
          <w:color w:val="auto"/>
          <w:sz w:val="32"/>
          <w:szCs w:val="32"/>
          <w:highlight w:val="none"/>
          <w:shd w:val="clear" w:color="auto" w:fill="auto"/>
          <w:lang w:eastAsia="zh-CN" w:bidi="ar-SA"/>
        </w:rPr>
        <w:t>是</w:t>
      </w:r>
      <w:r>
        <w:rPr>
          <w:rFonts w:hint="eastAsia" w:ascii="仿宋_GB2312" w:hAnsi="仿宋_GB2312" w:eastAsia="仿宋_GB2312" w:cs="仿宋_GB2312"/>
          <w:color w:val="auto"/>
          <w:sz w:val="32"/>
          <w:szCs w:val="32"/>
          <w:highlight w:val="none"/>
          <w:shd w:val="clear" w:color="auto" w:fill="auto"/>
          <w:lang w:bidi="ar-SA"/>
        </w:rPr>
        <w:t>依申请公开或不予公开的文件进行复核，对因情势变化或依申请公开的人数和频次达到一定范围的文件，由发文</w:t>
      </w:r>
      <w:r>
        <w:rPr>
          <w:rFonts w:hint="eastAsia" w:ascii="仿宋_GB2312" w:hAnsi="仿宋_GB2312" w:eastAsia="仿宋_GB2312" w:cs="仿宋_GB2312"/>
          <w:color w:val="auto"/>
          <w:sz w:val="32"/>
          <w:szCs w:val="32"/>
          <w:highlight w:val="none"/>
          <w:shd w:val="clear" w:color="auto" w:fill="auto"/>
          <w:lang w:eastAsia="zh-CN" w:bidi="ar-SA"/>
        </w:rPr>
        <w:t>站室</w:t>
      </w:r>
      <w:r>
        <w:rPr>
          <w:rFonts w:hint="eastAsia" w:ascii="仿宋_GB2312" w:hAnsi="仿宋_GB2312" w:eastAsia="仿宋_GB2312" w:cs="仿宋_GB2312"/>
          <w:color w:val="auto"/>
          <w:sz w:val="32"/>
          <w:szCs w:val="32"/>
          <w:highlight w:val="none"/>
          <w:shd w:val="clear" w:color="auto" w:fill="auto"/>
          <w:lang w:bidi="ar-SA"/>
        </w:rPr>
        <w:t>提出建议，属性可以由依申请公开或不予公开转为主动公开。</w:t>
      </w:r>
    </w:p>
    <w:p>
      <w:pPr>
        <w:pStyle w:val="2"/>
        <w:ind w:firstLine="643" w:firstLineChars="200"/>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_GB2312" w:hAnsi="仿宋_GB2312" w:eastAsia="仿宋_GB2312" w:cs="仿宋_GB2312"/>
          <w:b/>
          <w:bCs/>
          <w:color w:val="auto"/>
          <w:kern w:val="2"/>
          <w:sz w:val="32"/>
          <w:szCs w:val="32"/>
          <w:highlight w:val="none"/>
          <w:shd w:val="clear" w:color="auto" w:fill="auto"/>
          <w:lang w:val="en-US" w:eastAsia="zh-CN" w:bidi="ar-SA"/>
        </w:rPr>
        <w:t>2．明确主动公开内容。</w:t>
      </w:r>
      <w:r>
        <w:rPr>
          <w:rFonts w:hint="eastAsia" w:ascii="仿宋_GB2312" w:hAnsi="仿宋_GB2312" w:eastAsia="仿宋_GB2312" w:cs="仿宋_GB2312"/>
          <w:color w:val="auto"/>
          <w:kern w:val="2"/>
          <w:sz w:val="32"/>
          <w:szCs w:val="32"/>
          <w:highlight w:val="none"/>
          <w:shd w:val="clear" w:color="auto" w:fill="auto"/>
          <w:lang w:val="en-US" w:eastAsia="zh-CN" w:bidi="ar-SA"/>
        </w:rPr>
        <w:t>为拓展基层政务公开标准化规范化领域，在26个试点领域政务公开事项标准目录的基础上，结合乡级政府权责清单和公共服务事项清单，全面梳理细化我单位相关领域政务公开事项，拓展政务公开标准化规范化施行领域和层级，推广施行全领域政务公开标准化规范化工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color w:val="auto"/>
          <w:sz w:val="32"/>
          <w:szCs w:val="32"/>
          <w:highlight w:val="none"/>
          <w:shd w:val="clear" w:color="auto" w:fill="auto"/>
          <w:lang w:bidi="ar-SA"/>
        </w:rPr>
      </w:pPr>
      <w:r>
        <w:rPr>
          <w:rFonts w:hint="eastAsia" w:ascii="仿宋_GB2312" w:hAnsi="仿宋_GB2312" w:eastAsia="仿宋_GB2312" w:cs="仿宋_GB2312"/>
          <w:b/>
          <w:bCs/>
          <w:color w:val="auto"/>
          <w:sz w:val="32"/>
          <w:szCs w:val="32"/>
          <w:highlight w:val="none"/>
          <w:shd w:val="clear" w:color="auto" w:fill="auto"/>
          <w:lang w:bidi="ar-SA"/>
        </w:rPr>
        <w:t>（二）完善依申请公开流程</w:t>
      </w:r>
    </w:p>
    <w:p>
      <w:pPr>
        <w:pStyle w:val="2"/>
        <w:ind w:firstLine="640" w:firstLineChars="200"/>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_GB2312" w:hAnsi="仿宋_GB2312" w:eastAsia="仿宋_GB2312" w:cs="仿宋_GB2312"/>
          <w:color w:val="auto"/>
          <w:kern w:val="2"/>
          <w:sz w:val="32"/>
          <w:szCs w:val="32"/>
          <w:highlight w:val="none"/>
          <w:shd w:val="clear" w:color="auto" w:fill="auto"/>
          <w:lang w:val="en-US" w:eastAsia="zh-CN" w:bidi="ar-SA"/>
        </w:rPr>
        <w:t>完善依申请公开办理机制，依申请公开全面实行“登记制”和“书面答复制”，即有申请必登记、有申请必答复。书面答复中包含查找检索相关政府信息的过程事实、处理决定的法律法规依据、申请人行使救济权的期限、途径等内容，充分保障申请人权益。完善政府信息发布审核机制，通过政府网站及政务新媒体、新闻发布会、新闻媒体等发布的政府信息严格审核，责任到人，做到谁发布谁负责，保障信息发布的严肃性、及时性、准确性和权威性。</w:t>
      </w:r>
    </w:p>
    <w:p>
      <w:pPr>
        <w:pStyle w:val="2"/>
        <w:ind w:firstLine="640" w:firstLineChars="200"/>
        <w:rPr>
          <w:rFonts w:hint="eastAsia"/>
        </w:rPr>
      </w:pPr>
      <w:r>
        <w:rPr>
          <w:rFonts w:hint="eastAsia" w:ascii="仿宋_GB2312" w:hAnsi="仿宋_GB2312" w:eastAsia="仿宋_GB2312" w:cs="仿宋_GB2312"/>
          <w:color w:val="auto"/>
          <w:kern w:val="2"/>
          <w:sz w:val="32"/>
          <w:szCs w:val="32"/>
          <w:highlight w:val="none"/>
          <w:shd w:val="clear" w:color="auto" w:fill="auto"/>
          <w:lang w:val="en-US" w:eastAsia="zh-CN" w:bidi="ar-SA"/>
        </w:rPr>
        <w:t>加强规范性文件全生命周期管理，定期开展清理，优化平台功能，对规范性文件文号、成文日期、发布日期、有效性等要素进行规范标注，同时上传word版本附件，最大限度方便公众搜索、下载、查阅。公开现行有效的规范性文件目录汇编。</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highlight w:val="none"/>
          <w:shd w:val="clear" w:color="auto" w:fill="auto"/>
          <w:lang w:bidi="ar-SA"/>
        </w:rPr>
      </w:pPr>
      <w:r>
        <w:rPr>
          <w:rFonts w:hint="eastAsia" w:ascii="仿宋_GB2312" w:hAnsi="仿宋_GB2312" w:eastAsia="仿宋_GB2312" w:cs="仿宋_GB2312"/>
          <w:b/>
          <w:bCs/>
          <w:color w:val="auto"/>
          <w:sz w:val="32"/>
          <w:szCs w:val="32"/>
          <w:highlight w:val="none"/>
          <w:shd w:val="clear" w:color="auto" w:fill="auto"/>
          <w:lang w:bidi="ar-SA"/>
        </w:rPr>
        <w:t>（三）加强政策解读及回应社会关切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highlight w:val="none"/>
          <w:shd w:val="clear" w:color="auto" w:fill="auto"/>
          <w:lang w:bidi="ar-SA"/>
        </w:rPr>
      </w:pPr>
      <w:r>
        <w:rPr>
          <w:rFonts w:hint="eastAsia" w:ascii="仿宋_GB2312" w:hAnsi="仿宋_GB2312" w:eastAsia="仿宋_GB2312" w:cs="仿宋_GB2312"/>
          <w:b/>
          <w:bCs/>
          <w:color w:val="auto"/>
          <w:sz w:val="32"/>
          <w:szCs w:val="32"/>
          <w:highlight w:val="none"/>
          <w:shd w:val="clear" w:color="auto" w:fill="auto"/>
          <w:lang w:bidi="ar-SA"/>
        </w:rPr>
        <w:t>1．明确解读主体。</w:t>
      </w:r>
      <w:r>
        <w:rPr>
          <w:rFonts w:hint="eastAsia" w:ascii="仿宋_GB2312" w:hAnsi="仿宋_GB2312" w:eastAsia="仿宋_GB2312" w:cs="仿宋_GB2312"/>
          <w:color w:val="auto"/>
          <w:sz w:val="32"/>
          <w:szCs w:val="32"/>
          <w:highlight w:val="none"/>
          <w:shd w:val="clear" w:color="auto" w:fill="auto"/>
          <w:lang w:bidi="ar-SA"/>
        </w:rPr>
        <w:t>充分利用各种新媒体平台和政务服务中心、报纸、广播电视等渠道，拓宽解读发布渠道，发布政策解读材料。严格按照已公布标准目录的执行，落实基层政务公开。受政策法规的制约和客观因素的影响，把握好公开的界限和程度，既要让群众满意，又要有利于各项工作的开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highlight w:val="none"/>
          <w:shd w:val="clear" w:color="auto" w:fill="auto"/>
          <w:lang w:bidi="ar-SA"/>
        </w:rPr>
      </w:pPr>
      <w:r>
        <w:rPr>
          <w:rFonts w:hint="eastAsia" w:ascii="仿宋_GB2312" w:hAnsi="仿宋_GB2312" w:eastAsia="仿宋_GB2312" w:cs="仿宋_GB2312"/>
          <w:b/>
          <w:bCs/>
          <w:color w:val="auto"/>
          <w:sz w:val="32"/>
          <w:szCs w:val="32"/>
          <w:highlight w:val="none"/>
          <w:shd w:val="clear" w:color="auto" w:fill="auto"/>
          <w:lang w:bidi="ar-SA"/>
        </w:rPr>
        <w:t>2．优化解读内容和形式。</w:t>
      </w:r>
      <w:r>
        <w:rPr>
          <w:rFonts w:hint="eastAsia" w:ascii="仿宋_GB2312" w:hAnsi="仿宋_GB2312" w:eastAsia="仿宋_GB2312" w:cs="仿宋_GB2312"/>
          <w:color w:val="auto"/>
          <w:sz w:val="32"/>
          <w:szCs w:val="32"/>
          <w:highlight w:val="none"/>
          <w:shd w:val="clear" w:color="auto" w:fill="auto"/>
          <w:lang w:bidi="ar-SA"/>
        </w:rPr>
        <w:t>定期开展政务公开工作汇报，强化机构职能。严格落实《条例》规定的法定机构职责职能，理顺工作机制，强化队伍建设，配强工作人员。注重对基层一线政策执行人员开展政策解读和培训，确保经济政策在执行过程中不走样。组织开展针对一线工作人员的政策解读培训会，现场普及政策知识，为一线人员答疑解惑。由学张乡党委副书记姚妮负责政务公开工作，提出整改意见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highlight w:val="none"/>
          <w:shd w:val="clear" w:color="auto" w:fill="auto"/>
          <w:lang w:bidi="ar-SA"/>
        </w:rPr>
      </w:pPr>
      <w:r>
        <w:rPr>
          <w:rFonts w:hint="eastAsia" w:ascii="仿宋_GB2312" w:hAnsi="仿宋_GB2312" w:eastAsia="仿宋_GB2312" w:cs="仿宋_GB2312"/>
          <w:b/>
          <w:bCs/>
          <w:color w:val="auto"/>
          <w:sz w:val="32"/>
          <w:szCs w:val="32"/>
          <w:highlight w:val="none"/>
          <w:shd w:val="clear" w:color="auto" w:fill="auto"/>
          <w:lang w:bidi="ar-SA"/>
        </w:rPr>
        <w:t>3．拓宽解读发布渠道。</w:t>
      </w:r>
      <w:r>
        <w:rPr>
          <w:rFonts w:hint="eastAsia" w:ascii="仿宋_GB2312" w:hAnsi="仿宋_GB2312" w:eastAsia="仿宋_GB2312" w:cs="仿宋_GB2312"/>
          <w:color w:val="auto"/>
          <w:sz w:val="32"/>
          <w:szCs w:val="32"/>
          <w:highlight w:val="none"/>
          <w:shd w:val="clear" w:color="auto" w:fill="auto"/>
          <w:lang w:bidi="ar-SA"/>
        </w:rPr>
        <w:t>在26个试点领域政务公开事项标准目录的基础上，结合乡级政府权责清单和公共服务事项清单，全面梳理细化我单位相关领域政务公开事项，拓展政务公开标准化规范化施行领域和层级。在依法依规答复办理的基础上，增加了“便民答复”内容。对于不掌握、无法立即答复、未确定</w:t>
      </w:r>
      <w:r>
        <w:rPr>
          <w:rFonts w:hint="eastAsia" w:ascii="仿宋_GB2312" w:hAnsi="仿宋_GB2312" w:cs="仿宋_GB2312"/>
          <w:color w:val="auto"/>
          <w:sz w:val="32"/>
          <w:szCs w:val="32"/>
          <w:highlight w:val="none"/>
          <w:shd w:val="clear" w:color="auto" w:fill="auto"/>
          <w:lang w:eastAsia="zh-CN" w:bidi="ar-SA"/>
        </w:rPr>
        <w:t>的</w:t>
      </w:r>
      <w:r>
        <w:rPr>
          <w:rFonts w:hint="eastAsia" w:ascii="仿宋_GB2312" w:hAnsi="仿宋_GB2312" w:eastAsia="仿宋_GB2312" w:cs="仿宋_GB2312"/>
          <w:color w:val="auto"/>
          <w:sz w:val="32"/>
          <w:szCs w:val="32"/>
          <w:highlight w:val="none"/>
          <w:shd w:val="clear" w:color="auto" w:fill="auto"/>
          <w:lang w:bidi="ar-SA"/>
        </w:rPr>
        <w:t>情况视目前情况作出合理答复，尽可能满足群众获取信息的要求。同时加强内部纪委、办公室等部门协同，畅通政策咨询渠道。严格按照已公布的标准目录执行，落实基层政务公开。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highlight w:val="none"/>
          <w:shd w:val="clear" w:color="auto" w:fill="auto"/>
          <w:lang w:bidi="ar-SA"/>
        </w:rPr>
      </w:pPr>
      <w:r>
        <w:rPr>
          <w:rFonts w:hint="eastAsia" w:ascii="仿宋_GB2312" w:hAnsi="仿宋_GB2312" w:eastAsia="仿宋_GB2312" w:cs="仿宋_GB2312"/>
          <w:b/>
          <w:bCs/>
          <w:color w:val="auto"/>
          <w:sz w:val="32"/>
          <w:szCs w:val="32"/>
          <w:highlight w:val="none"/>
          <w:shd w:val="clear" w:color="auto" w:fill="auto"/>
          <w:lang w:bidi="ar-SA"/>
        </w:rPr>
        <w:t>4．积极回应社会关切。</w:t>
      </w:r>
      <w:r>
        <w:rPr>
          <w:rFonts w:hint="eastAsia" w:ascii="仿宋_GB2312" w:hAnsi="仿宋_GB2312" w:eastAsia="仿宋_GB2312" w:cs="仿宋_GB2312"/>
          <w:color w:val="auto"/>
          <w:sz w:val="32"/>
          <w:szCs w:val="32"/>
          <w:highlight w:val="none"/>
          <w:shd w:val="clear" w:color="auto" w:fill="auto"/>
          <w:lang w:bidi="ar-SA"/>
        </w:rPr>
        <w:t>完善了政务舆情回应机制，编制了应急预案，按照属地管理、分级负责、责权统一的原则，进一步明确了政务舆情回应责任主体；建立完善了政务舆情收集、报告、回应等机制，明确</w:t>
      </w:r>
      <w:r>
        <w:rPr>
          <w:rFonts w:hint="eastAsia" w:ascii="仿宋_GB2312" w:hAnsi="仿宋_GB2312" w:cs="仿宋_GB2312"/>
          <w:color w:val="auto"/>
          <w:sz w:val="32"/>
          <w:szCs w:val="32"/>
          <w:highlight w:val="none"/>
          <w:shd w:val="clear" w:color="auto" w:fill="auto"/>
          <w:lang w:eastAsia="zh-CN" w:bidi="ar-SA"/>
        </w:rPr>
        <w:t>了</w:t>
      </w:r>
      <w:r>
        <w:rPr>
          <w:rFonts w:hint="eastAsia" w:ascii="仿宋_GB2312" w:hAnsi="仿宋_GB2312" w:eastAsia="仿宋_GB2312" w:cs="仿宋_GB2312"/>
          <w:color w:val="auto"/>
          <w:sz w:val="32"/>
          <w:szCs w:val="32"/>
          <w:highlight w:val="none"/>
          <w:shd w:val="clear" w:color="auto" w:fill="auto"/>
          <w:lang w:bidi="ar-SA"/>
        </w:rPr>
        <w:t>政务舆情协调责任人，实现了上下联动、信息共享、协同处置。对运城市“12345”政务服务热线、政府门户网站“县长信箱”等群众诉求及时回应处置，加大督办力度，答复满意度不断提升。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color w:val="auto"/>
          <w:sz w:val="32"/>
          <w:szCs w:val="32"/>
          <w:highlight w:val="none"/>
          <w:shd w:val="clear" w:color="auto" w:fill="auto"/>
          <w:lang w:bidi="ar-SA"/>
        </w:rPr>
      </w:pPr>
      <w:r>
        <w:rPr>
          <w:rFonts w:hint="eastAsia" w:ascii="仿宋_GB2312" w:hAnsi="仿宋_GB2312" w:eastAsia="仿宋_GB2312" w:cs="仿宋_GB2312"/>
          <w:b/>
          <w:bCs/>
          <w:color w:val="auto"/>
          <w:sz w:val="32"/>
          <w:szCs w:val="32"/>
          <w:highlight w:val="none"/>
          <w:shd w:val="clear" w:color="auto" w:fill="auto"/>
          <w:lang w:bidi="ar-SA"/>
        </w:rPr>
        <w:t>（四）加强政务公开平台建设</w:t>
      </w:r>
    </w:p>
    <w:p>
      <w:pPr>
        <w:pStyle w:val="2"/>
        <w:ind w:firstLine="640" w:firstLineChars="200"/>
        <w:rPr>
          <w:rFonts w:hint="eastAsia"/>
        </w:rPr>
      </w:pPr>
      <w:r>
        <w:rPr>
          <w:rFonts w:hint="eastAsia" w:ascii="仿宋_GB2312" w:hAnsi="仿宋_GB2312" w:eastAsia="仿宋_GB2312" w:cs="仿宋_GB2312"/>
          <w:color w:val="auto"/>
          <w:kern w:val="2"/>
          <w:sz w:val="32"/>
          <w:szCs w:val="32"/>
          <w:highlight w:val="none"/>
          <w:shd w:val="clear" w:color="auto" w:fill="auto"/>
          <w:lang w:val="en-US" w:eastAsia="zh-CN" w:bidi="ar-SA"/>
        </w:rPr>
        <w:t>持续抓好政府网站及政务新媒体建设，严格落实平台管控，向县政府办公室提出需上线运行的网站系统和政务新媒体的申请，经县政府办公室主要领导同意后并报市办、省办、国办备案后再行开设。政府子网站只转载党委和政府网站内容以及有关主管部门确定的稿源单位发布的信息，保证了发布信息的权威性和有效性。通过听证会、意见征集、会议开放等方式扩大公众参与。要求审计部门加强督查和审计，发现问题及时整改落实情况公开，积极开展决策执行效果评估，切实增强政府执行力。</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color w:val="auto"/>
          <w:sz w:val="32"/>
          <w:szCs w:val="32"/>
          <w:highlight w:val="none"/>
          <w:shd w:val="clear" w:color="auto" w:fill="auto"/>
          <w:lang w:bidi="ar-SA"/>
        </w:rPr>
      </w:pPr>
      <w:r>
        <w:rPr>
          <w:rFonts w:hint="eastAsia" w:ascii="仿宋_GB2312" w:hAnsi="仿宋_GB2312" w:eastAsia="仿宋_GB2312" w:cs="仿宋_GB2312"/>
          <w:b/>
          <w:bCs/>
          <w:color w:val="auto"/>
          <w:sz w:val="32"/>
          <w:szCs w:val="32"/>
          <w:highlight w:val="none"/>
          <w:shd w:val="clear" w:color="auto" w:fill="auto"/>
          <w:lang w:bidi="ar-SA"/>
        </w:rPr>
        <w:t>（五）强化政务公开监督保障</w:t>
      </w:r>
    </w:p>
    <w:p>
      <w:pPr>
        <w:pStyle w:val="3"/>
        <w:keepNext w:val="0"/>
        <w:keepLines w:val="0"/>
        <w:pageBreakBefore w:val="0"/>
        <w:widowControl w:val="0"/>
        <w:kinsoku/>
        <w:wordWrap/>
        <w:overflowPunct/>
        <w:topLinePunct w:val="0"/>
        <w:autoSpaceDE/>
        <w:autoSpaceDN/>
        <w:bidi w:val="0"/>
        <w:adjustRightInd/>
        <w:snapToGrid w:val="0"/>
        <w:spacing w:after="12" w:line="578" w:lineRule="exact"/>
        <w:ind w:firstLine="640" w:firstLineChars="200"/>
        <w:textAlignment w:val="auto"/>
        <w:outlineLvl w:val="9"/>
        <w:rPr>
          <w:rFonts w:hint="default" w:ascii="黑体" w:hAnsi="黑体" w:eastAsia="黑体" w:cs="黑体"/>
          <w:color w:val="auto"/>
          <w:sz w:val="32"/>
          <w:szCs w:val="32"/>
          <w:highlight w:val="none"/>
          <w:shd w:val="clear" w:color="auto" w:fill="auto"/>
          <w:lang w:eastAsia="zh-CN"/>
        </w:rPr>
      </w:pPr>
      <w:r>
        <w:rPr>
          <w:rFonts w:hint="default" w:ascii="仿宋_GB2312" w:hAnsi="仿宋_GB2312" w:eastAsia="仿宋_GB2312" w:cs="仿宋_GB2312"/>
          <w:color w:val="auto"/>
          <w:kern w:val="2"/>
          <w:sz w:val="32"/>
          <w:szCs w:val="32"/>
          <w:highlight w:val="none"/>
          <w:shd w:val="clear" w:color="auto" w:fill="auto"/>
          <w:lang w:val="en-US" w:eastAsia="zh-CN" w:bidi="ar-SA"/>
        </w:rPr>
        <w:t>乡政府领导班子定期开展研究政务公开工作，定期开展政务公开工作汇报，强化机构职能。严格落实《条例》规定的法定机构职责职能，理顺工作机制，强化队伍建设，配强工作人员。注重对基层一线政策执行人员开展政策解读和培训，确保经济政策在执行过程中不走样。组织开展针对一线工作人员的政策解读培训会，现场普及政策知识，为一线人员答疑解惑。由党委副书记姚妮负责政务公开工作，提出整改意见措施。</w:t>
      </w:r>
    </w:p>
    <w:p>
      <w:pPr>
        <w:pStyle w:val="3"/>
        <w:keepNext w:val="0"/>
        <w:keepLines w:val="0"/>
        <w:pageBreakBefore w:val="0"/>
        <w:widowControl w:val="0"/>
        <w:kinsoku/>
        <w:wordWrap/>
        <w:overflowPunct/>
        <w:topLinePunct w:val="0"/>
        <w:autoSpaceDE/>
        <w:autoSpaceDN/>
        <w:bidi w:val="0"/>
        <w:adjustRightInd/>
        <w:snapToGrid w:val="0"/>
        <w:spacing w:after="12" w:line="578" w:lineRule="exact"/>
        <w:ind w:firstLine="640" w:firstLineChars="200"/>
        <w:textAlignment w:val="auto"/>
        <w:outlineLvl w:val="9"/>
        <w:rPr>
          <w:rFonts w:hint="default" w:ascii="黑体" w:hAnsi="黑体" w:eastAsia="黑体" w:cs="黑体"/>
          <w:color w:val="auto"/>
          <w:sz w:val="32"/>
          <w:szCs w:val="32"/>
          <w:highlight w:val="none"/>
          <w:shd w:val="clear" w:color="auto" w:fill="auto"/>
          <w:lang w:eastAsia="zh-CN"/>
        </w:rPr>
      </w:pPr>
    </w:p>
    <w:p>
      <w:pPr>
        <w:pStyle w:val="3"/>
        <w:keepNext w:val="0"/>
        <w:keepLines w:val="0"/>
        <w:pageBreakBefore w:val="0"/>
        <w:widowControl w:val="0"/>
        <w:numPr>
          <w:ilvl w:val="0"/>
          <w:numId w:val="1"/>
        </w:numPr>
        <w:kinsoku/>
        <w:wordWrap/>
        <w:overflowPunct/>
        <w:topLinePunct w:val="0"/>
        <w:autoSpaceDE/>
        <w:autoSpaceDN/>
        <w:bidi w:val="0"/>
        <w:adjustRightInd/>
        <w:snapToGrid w:val="0"/>
        <w:spacing w:after="12" w:line="578" w:lineRule="exact"/>
        <w:ind w:firstLine="640" w:firstLineChars="200"/>
        <w:textAlignment w:val="auto"/>
        <w:outlineLvl w:val="9"/>
        <w:rPr>
          <w:rFonts w:hint="default" w:ascii="黑体" w:hAnsi="黑体" w:eastAsia="黑体" w:cs="黑体"/>
          <w:color w:val="auto"/>
          <w:sz w:val="32"/>
          <w:szCs w:val="32"/>
          <w:highlight w:val="none"/>
          <w:shd w:val="clear" w:color="auto" w:fill="auto"/>
          <w:lang w:eastAsia="zh-CN"/>
        </w:rPr>
      </w:pPr>
      <w:r>
        <w:rPr>
          <w:rFonts w:hint="default" w:ascii="黑体" w:hAnsi="黑体" w:eastAsia="黑体" w:cs="黑体"/>
          <w:color w:val="auto"/>
          <w:sz w:val="32"/>
          <w:szCs w:val="32"/>
          <w:highlight w:val="none"/>
          <w:shd w:val="clear" w:color="auto" w:fill="auto"/>
          <w:lang w:eastAsia="zh-CN"/>
        </w:rPr>
        <w:t>主动公开政府信息情况</w:t>
      </w:r>
    </w:p>
    <w:tbl>
      <w:tblPr>
        <w:tblStyle w:val="5"/>
        <w:tblW w:w="9240" w:type="dxa"/>
        <w:jc w:val="center"/>
        <w:tblLayout w:type="fixed"/>
        <w:tblCellMar>
          <w:top w:w="0" w:type="dxa"/>
          <w:left w:w="0" w:type="dxa"/>
          <w:bottom w:w="0" w:type="dxa"/>
          <w:right w:w="0" w:type="dxa"/>
        </w:tblCellMar>
      </w:tblPr>
      <w:tblGrid>
        <w:gridCol w:w="3444"/>
        <w:gridCol w:w="1562"/>
        <w:gridCol w:w="1843"/>
        <w:gridCol w:w="2391"/>
      </w:tblGrid>
      <w:tr>
        <w:tblPrEx>
          <w:tblCellMar>
            <w:top w:w="0" w:type="dxa"/>
            <w:left w:w="0" w:type="dxa"/>
            <w:bottom w:w="0" w:type="dxa"/>
            <w:right w:w="0" w:type="dxa"/>
          </w:tblCellMar>
        </w:tblPrEx>
        <w:trPr>
          <w:trHeight w:val="918" w:hRule="atLeast"/>
          <w:jc w:val="center"/>
        </w:trPr>
        <w:tc>
          <w:tcPr>
            <w:tcW w:w="92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第二十条第（一）项</w:t>
            </w:r>
          </w:p>
        </w:tc>
      </w:tr>
      <w:tr>
        <w:tblPrEx>
          <w:tblCellMar>
            <w:top w:w="0" w:type="dxa"/>
            <w:left w:w="0" w:type="dxa"/>
            <w:bottom w:w="0" w:type="dxa"/>
            <w:right w:w="0" w:type="dxa"/>
          </w:tblCellMar>
        </w:tblPrEx>
        <w:trPr>
          <w:trHeight w:val="1205" w:hRule="atLeast"/>
          <w:jc w:val="center"/>
        </w:trPr>
        <w:tc>
          <w:tcPr>
            <w:tcW w:w="344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信息内容</w:t>
            </w:r>
          </w:p>
        </w:tc>
        <w:tc>
          <w:tcPr>
            <w:tcW w:w="156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Times New Roman" w:hAnsi="Times New Roman" w:eastAsia="仿宋_GB2312" w:cs="Times New Roman"/>
                <w:color w:val="auto"/>
                <w:kern w:val="0"/>
                <w:sz w:val="28"/>
                <w:szCs w:val="28"/>
                <w:highlight w:val="none"/>
                <w:shd w:val="clear" w:color="auto" w:fill="auto"/>
                <w:lang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本年制</w:t>
            </w:r>
            <w:r>
              <w:rPr>
                <w:rFonts w:hint="default" w:ascii="Times New Roman" w:hAnsi="Times New Roman" w:eastAsia="仿宋_GB2312" w:cs="Times New Roman"/>
                <w:color w:val="auto"/>
                <w:kern w:val="0"/>
                <w:sz w:val="28"/>
                <w:szCs w:val="28"/>
                <w:highlight w:val="none"/>
                <w:shd w:val="clear" w:color="auto" w:fill="auto"/>
                <w:lang w:bidi="ar-SA"/>
              </w:rPr>
              <w:br w:type="textWrapping"/>
            </w:r>
            <w:r>
              <w:rPr>
                <w:rFonts w:hint="eastAsia" w:ascii="Times New Roman" w:hAnsi="Times New Roman" w:cs="Times New Roman"/>
                <w:color w:val="auto"/>
                <w:kern w:val="0"/>
                <w:sz w:val="28"/>
                <w:szCs w:val="28"/>
                <w:highlight w:val="none"/>
                <w:shd w:val="clear" w:color="auto" w:fill="auto"/>
                <w:lang w:eastAsia="zh-CN" w:bidi="ar-SA"/>
              </w:rPr>
              <w:t>发件数</w:t>
            </w:r>
          </w:p>
        </w:tc>
        <w:tc>
          <w:tcPr>
            <w:tcW w:w="18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Times New Roman" w:hAnsi="Times New Roman" w:cs="Times New Roman"/>
                <w:color w:val="auto"/>
                <w:kern w:val="0"/>
                <w:sz w:val="28"/>
                <w:szCs w:val="28"/>
                <w:highlight w:val="none"/>
                <w:shd w:val="clear" w:color="auto" w:fill="auto"/>
                <w:lang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本年</w:t>
            </w:r>
            <w:r>
              <w:rPr>
                <w:rFonts w:hint="eastAsia" w:ascii="Times New Roman" w:hAnsi="Times New Roman" w:cs="Times New Roman"/>
                <w:color w:val="auto"/>
                <w:kern w:val="0"/>
                <w:sz w:val="28"/>
                <w:szCs w:val="28"/>
                <w:highlight w:val="none"/>
                <w:shd w:val="clear" w:color="auto" w:fill="auto"/>
                <w:lang w:eastAsia="zh-CN" w:bidi="ar-SA"/>
              </w:rPr>
              <w:t>废止</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Times New Roman" w:hAnsi="Times New Roman" w:eastAsia="仿宋_GB2312" w:cs="Times New Roman"/>
                <w:color w:val="auto"/>
                <w:kern w:val="0"/>
                <w:sz w:val="28"/>
                <w:szCs w:val="28"/>
                <w:highlight w:val="none"/>
                <w:shd w:val="clear" w:color="auto" w:fill="auto"/>
                <w:lang w:eastAsia="zh-CN" w:bidi="ar-SA"/>
              </w:rPr>
            </w:pPr>
            <w:r>
              <w:rPr>
                <w:rFonts w:hint="eastAsia" w:ascii="Times New Roman" w:hAnsi="Times New Roman" w:cs="Times New Roman"/>
                <w:color w:val="auto"/>
                <w:kern w:val="0"/>
                <w:sz w:val="28"/>
                <w:szCs w:val="28"/>
                <w:highlight w:val="none"/>
                <w:shd w:val="clear" w:color="auto" w:fill="auto"/>
                <w:lang w:eastAsia="zh-CN" w:bidi="ar-SA"/>
              </w:rPr>
              <w:t>件数</w:t>
            </w:r>
          </w:p>
        </w:tc>
        <w:tc>
          <w:tcPr>
            <w:tcW w:w="23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eastAsia" w:ascii="Times New Roman" w:hAnsi="Times New Roman" w:cs="Times New Roman"/>
                <w:color w:val="auto"/>
                <w:kern w:val="0"/>
                <w:sz w:val="28"/>
                <w:szCs w:val="28"/>
                <w:highlight w:val="none"/>
                <w:shd w:val="clear" w:color="auto" w:fill="auto"/>
                <w:lang w:eastAsia="zh-CN" w:bidi="ar-SA"/>
              </w:rPr>
              <w:t>现行有效件数</w:t>
            </w:r>
          </w:p>
        </w:tc>
      </w:tr>
      <w:tr>
        <w:tblPrEx>
          <w:tblCellMar>
            <w:top w:w="0" w:type="dxa"/>
            <w:left w:w="0" w:type="dxa"/>
            <w:bottom w:w="0" w:type="dxa"/>
            <w:right w:w="0" w:type="dxa"/>
          </w:tblCellMar>
        </w:tblPrEx>
        <w:trPr>
          <w:trHeight w:val="889" w:hRule="atLeast"/>
          <w:jc w:val="center"/>
        </w:trPr>
        <w:tc>
          <w:tcPr>
            <w:tcW w:w="344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规章</w:t>
            </w:r>
          </w:p>
        </w:tc>
        <w:tc>
          <w:tcPr>
            <w:tcW w:w="156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184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23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r>
      <w:tr>
        <w:tblPrEx>
          <w:tblCellMar>
            <w:top w:w="0" w:type="dxa"/>
            <w:left w:w="0" w:type="dxa"/>
            <w:bottom w:w="0" w:type="dxa"/>
            <w:right w:w="0" w:type="dxa"/>
          </w:tblCellMar>
        </w:tblPrEx>
        <w:trPr>
          <w:trHeight w:val="948" w:hRule="atLeast"/>
          <w:jc w:val="center"/>
        </w:trPr>
        <w:tc>
          <w:tcPr>
            <w:tcW w:w="344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eastAsia" w:ascii="Times New Roman" w:hAnsi="Times New Roman" w:cs="Times New Roman"/>
                <w:color w:val="auto"/>
                <w:kern w:val="0"/>
                <w:sz w:val="28"/>
                <w:szCs w:val="28"/>
                <w:highlight w:val="none"/>
                <w:shd w:val="clear" w:color="auto" w:fill="auto"/>
                <w:lang w:eastAsia="zh-CN" w:bidi="ar-SA"/>
              </w:rPr>
              <w:t>行政</w:t>
            </w:r>
            <w:r>
              <w:rPr>
                <w:rFonts w:hint="default" w:ascii="Times New Roman" w:hAnsi="Times New Roman" w:eastAsia="仿宋_GB2312" w:cs="Times New Roman"/>
                <w:color w:val="auto"/>
                <w:kern w:val="0"/>
                <w:sz w:val="28"/>
                <w:szCs w:val="28"/>
                <w:highlight w:val="none"/>
                <w:shd w:val="clear" w:color="auto" w:fill="auto"/>
                <w:lang w:bidi="ar-SA"/>
              </w:rPr>
              <w:t>规范性文件</w:t>
            </w:r>
          </w:p>
        </w:tc>
        <w:tc>
          <w:tcPr>
            <w:tcW w:w="156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cs="Times New Roman"/>
                <w:color w:val="auto"/>
                <w:kern w:val="0"/>
                <w:sz w:val="28"/>
                <w:szCs w:val="28"/>
                <w:highlight w:val="none"/>
                <w:shd w:val="clear" w:color="auto" w:fill="auto"/>
                <w:lang w:val="en-US" w:eastAsia="zh-CN" w:bidi="ar-SA"/>
              </w:rPr>
              <w:t>0</w:t>
            </w:r>
          </w:p>
        </w:tc>
        <w:tc>
          <w:tcPr>
            <w:tcW w:w="184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ascii="Times New Roman" w:hAnsi="Times New Roman" w:cs="Times New Roman"/>
                <w:color w:val="auto"/>
                <w:kern w:val="0"/>
                <w:sz w:val="28"/>
                <w:szCs w:val="28"/>
                <w:highlight w:val="none"/>
                <w:shd w:val="clear" w:color="auto" w:fill="auto"/>
                <w:lang w:val="en-US" w:eastAsia="zh-CN" w:bidi="ar-SA"/>
              </w:rPr>
              <w:t>0</w:t>
            </w:r>
          </w:p>
        </w:tc>
        <w:tc>
          <w:tcPr>
            <w:tcW w:w="23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cs="Times New Roman"/>
                <w:color w:val="auto"/>
                <w:kern w:val="0"/>
                <w:sz w:val="28"/>
                <w:szCs w:val="28"/>
                <w:highlight w:val="none"/>
                <w:shd w:val="clear" w:color="auto" w:fill="auto"/>
                <w:lang w:val="en-US" w:eastAsia="zh-CN" w:bidi="ar-SA"/>
              </w:rPr>
              <w:t>0</w:t>
            </w:r>
          </w:p>
        </w:tc>
      </w:tr>
      <w:tr>
        <w:tblPrEx>
          <w:tblCellMar>
            <w:top w:w="0" w:type="dxa"/>
            <w:left w:w="0" w:type="dxa"/>
            <w:bottom w:w="0" w:type="dxa"/>
            <w:right w:w="0" w:type="dxa"/>
          </w:tblCellMar>
        </w:tblPrEx>
        <w:trPr>
          <w:trHeight w:val="867" w:hRule="atLeast"/>
          <w:jc w:val="center"/>
        </w:trPr>
        <w:tc>
          <w:tcPr>
            <w:tcW w:w="9240" w:type="dxa"/>
            <w:gridSpan w:val="4"/>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第二十条第（五）项</w:t>
            </w:r>
          </w:p>
        </w:tc>
      </w:tr>
      <w:tr>
        <w:tblPrEx>
          <w:tblCellMar>
            <w:top w:w="0" w:type="dxa"/>
            <w:left w:w="0" w:type="dxa"/>
            <w:bottom w:w="0" w:type="dxa"/>
            <w:right w:w="0" w:type="dxa"/>
          </w:tblCellMar>
        </w:tblPrEx>
        <w:trPr>
          <w:trHeight w:val="860" w:hRule="atLeast"/>
          <w:jc w:val="center"/>
        </w:trPr>
        <w:tc>
          <w:tcPr>
            <w:tcW w:w="344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信息内容</w:t>
            </w:r>
          </w:p>
        </w:tc>
        <w:tc>
          <w:tcPr>
            <w:tcW w:w="5796"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Times New Roman" w:hAnsi="Times New Roman" w:eastAsia="仿宋_GB2312" w:cs="Times New Roman"/>
                <w:color w:val="auto"/>
                <w:kern w:val="0"/>
                <w:sz w:val="28"/>
                <w:szCs w:val="28"/>
                <w:highlight w:val="none"/>
                <w:shd w:val="clear" w:color="auto" w:fill="auto"/>
                <w:lang w:eastAsia="zh-CN" w:bidi="ar-SA"/>
              </w:rPr>
            </w:pPr>
            <w:r>
              <w:rPr>
                <w:rFonts w:hint="eastAsia" w:ascii="Times New Roman" w:hAnsi="Times New Roman" w:cs="Times New Roman"/>
                <w:color w:val="auto"/>
                <w:kern w:val="0"/>
                <w:sz w:val="28"/>
                <w:szCs w:val="28"/>
                <w:highlight w:val="none"/>
                <w:shd w:val="clear" w:color="auto" w:fill="auto"/>
                <w:lang w:eastAsia="zh-CN" w:bidi="ar-SA"/>
              </w:rPr>
              <w:t>本年处理决定数量</w:t>
            </w:r>
          </w:p>
        </w:tc>
      </w:tr>
      <w:tr>
        <w:tblPrEx>
          <w:tblCellMar>
            <w:top w:w="0" w:type="dxa"/>
            <w:left w:w="0" w:type="dxa"/>
            <w:bottom w:w="0" w:type="dxa"/>
            <w:right w:w="0" w:type="dxa"/>
          </w:tblCellMar>
        </w:tblPrEx>
        <w:trPr>
          <w:trHeight w:val="840" w:hRule="atLeast"/>
          <w:jc w:val="center"/>
        </w:trPr>
        <w:tc>
          <w:tcPr>
            <w:tcW w:w="344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行政许可</w:t>
            </w:r>
          </w:p>
        </w:tc>
        <w:tc>
          <w:tcPr>
            <w:tcW w:w="579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cs="Times New Roman"/>
                <w:color w:val="auto"/>
                <w:kern w:val="0"/>
                <w:sz w:val="28"/>
                <w:szCs w:val="28"/>
                <w:highlight w:val="none"/>
                <w:shd w:val="clear" w:color="auto" w:fill="auto"/>
                <w:lang w:val="en-US" w:eastAsia="zh-CN" w:bidi="ar-SA"/>
              </w:rPr>
              <w:t>0</w:t>
            </w:r>
          </w:p>
        </w:tc>
      </w:tr>
      <w:tr>
        <w:tblPrEx>
          <w:tblCellMar>
            <w:top w:w="0" w:type="dxa"/>
            <w:left w:w="0" w:type="dxa"/>
            <w:bottom w:w="0" w:type="dxa"/>
            <w:right w:w="0" w:type="dxa"/>
          </w:tblCellMar>
        </w:tblPrEx>
        <w:trPr>
          <w:trHeight w:val="820" w:hRule="atLeast"/>
          <w:jc w:val="center"/>
        </w:trPr>
        <w:tc>
          <w:tcPr>
            <w:tcW w:w="92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第二十条第（六）项</w:t>
            </w:r>
          </w:p>
        </w:tc>
      </w:tr>
      <w:tr>
        <w:tblPrEx>
          <w:tblCellMar>
            <w:top w:w="0" w:type="dxa"/>
            <w:left w:w="0" w:type="dxa"/>
            <w:bottom w:w="0" w:type="dxa"/>
            <w:right w:w="0" w:type="dxa"/>
          </w:tblCellMar>
        </w:tblPrEx>
        <w:trPr>
          <w:trHeight w:val="883" w:hRule="atLeast"/>
          <w:jc w:val="center"/>
        </w:trPr>
        <w:tc>
          <w:tcPr>
            <w:tcW w:w="344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信息内容</w:t>
            </w:r>
          </w:p>
        </w:tc>
        <w:tc>
          <w:tcPr>
            <w:tcW w:w="5796"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eastAsia" w:ascii="Times New Roman" w:hAnsi="Times New Roman" w:cs="Times New Roman"/>
                <w:color w:val="auto"/>
                <w:kern w:val="0"/>
                <w:sz w:val="28"/>
                <w:szCs w:val="28"/>
                <w:highlight w:val="none"/>
                <w:shd w:val="clear" w:color="auto" w:fill="auto"/>
                <w:lang w:eastAsia="zh-CN" w:bidi="ar-SA"/>
              </w:rPr>
              <w:t>本年处理决定数量</w:t>
            </w:r>
          </w:p>
        </w:tc>
      </w:tr>
      <w:tr>
        <w:tblPrEx>
          <w:tblCellMar>
            <w:top w:w="0" w:type="dxa"/>
            <w:left w:w="0" w:type="dxa"/>
            <w:bottom w:w="0" w:type="dxa"/>
            <w:right w:w="0" w:type="dxa"/>
          </w:tblCellMar>
        </w:tblPrEx>
        <w:trPr>
          <w:trHeight w:val="867" w:hRule="atLeast"/>
          <w:jc w:val="center"/>
        </w:trPr>
        <w:tc>
          <w:tcPr>
            <w:tcW w:w="344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行政处罚</w:t>
            </w:r>
          </w:p>
        </w:tc>
        <w:tc>
          <w:tcPr>
            <w:tcW w:w="5796"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cs="Times New Roman"/>
                <w:color w:val="auto"/>
                <w:kern w:val="0"/>
                <w:sz w:val="28"/>
                <w:szCs w:val="28"/>
                <w:highlight w:val="none"/>
                <w:shd w:val="clear" w:color="auto" w:fill="auto"/>
                <w:lang w:val="en-US" w:eastAsia="zh-CN" w:bidi="ar-SA"/>
              </w:rPr>
              <w:t>2</w:t>
            </w:r>
            <w:bookmarkStart w:id="0" w:name="_GoBack"/>
            <w:bookmarkEnd w:id="0"/>
          </w:p>
        </w:tc>
      </w:tr>
      <w:tr>
        <w:tblPrEx>
          <w:tblCellMar>
            <w:top w:w="0" w:type="dxa"/>
            <w:left w:w="0" w:type="dxa"/>
            <w:bottom w:w="0" w:type="dxa"/>
            <w:right w:w="0" w:type="dxa"/>
          </w:tblCellMar>
        </w:tblPrEx>
        <w:trPr>
          <w:trHeight w:val="935" w:hRule="atLeast"/>
          <w:jc w:val="center"/>
        </w:trPr>
        <w:tc>
          <w:tcPr>
            <w:tcW w:w="344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行政强制</w:t>
            </w:r>
          </w:p>
        </w:tc>
        <w:tc>
          <w:tcPr>
            <w:tcW w:w="579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cs="Times New Roman"/>
                <w:color w:val="auto"/>
                <w:kern w:val="0"/>
                <w:sz w:val="28"/>
                <w:szCs w:val="28"/>
                <w:highlight w:val="none"/>
                <w:shd w:val="clear" w:color="auto" w:fill="auto"/>
                <w:lang w:val="en-US" w:eastAsia="zh-CN" w:bidi="ar-SA"/>
              </w:rPr>
              <w:t>0</w:t>
            </w:r>
          </w:p>
        </w:tc>
      </w:tr>
      <w:tr>
        <w:tblPrEx>
          <w:tblCellMar>
            <w:top w:w="0" w:type="dxa"/>
            <w:left w:w="0" w:type="dxa"/>
            <w:bottom w:w="0" w:type="dxa"/>
            <w:right w:w="0" w:type="dxa"/>
          </w:tblCellMar>
        </w:tblPrEx>
        <w:trPr>
          <w:trHeight w:val="883" w:hRule="atLeast"/>
          <w:jc w:val="center"/>
        </w:trPr>
        <w:tc>
          <w:tcPr>
            <w:tcW w:w="9240" w:type="dxa"/>
            <w:gridSpan w:val="4"/>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第二十条第（八）项</w:t>
            </w:r>
          </w:p>
        </w:tc>
      </w:tr>
      <w:tr>
        <w:tblPrEx>
          <w:tblCellMar>
            <w:top w:w="0" w:type="dxa"/>
            <w:left w:w="0" w:type="dxa"/>
            <w:bottom w:w="0" w:type="dxa"/>
            <w:right w:w="0" w:type="dxa"/>
          </w:tblCellMar>
        </w:tblPrEx>
        <w:trPr>
          <w:trHeight w:val="971" w:hRule="atLeast"/>
          <w:jc w:val="center"/>
        </w:trPr>
        <w:tc>
          <w:tcPr>
            <w:tcW w:w="344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信息内容</w:t>
            </w:r>
          </w:p>
        </w:tc>
        <w:tc>
          <w:tcPr>
            <w:tcW w:w="579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eastAsia" w:ascii="Times New Roman" w:hAnsi="Times New Roman" w:cs="Times New Roman"/>
                <w:color w:val="auto"/>
                <w:kern w:val="0"/>
                <w:sz w:val="28"/>
                <w:szCs w:val="28"/>
                <w:highlight w:val="none"/>
                <w:shd w:val="clear" w:color="auto" w:fill="auto"/>
                <w:lang w:eastAsia="zh-CN" w:bidi="ar-SA"/>
              </w:rPr>
              <w:t>本年收费金额（单位：万元）</w:t>
            </w:r>
          </w:p>
        </w:tc>
      </w:tr>
      <w:tr>
        <w:tblPrEx>
          <w:tblCellMar>
            <w:top w:w="0" w:type="dxa"/>
            <w:left w:w="0" w:type="dxa"/>
            <w:bottom w:w="0" w:type="dxa"/>
            <w:right w:w="0" w:type="dxa"/>
          </w:tblCellMar>
        </w:tblPrEx>
        <w:trPr>
          <w:trHeight w:val="992" w:hRule="atLeast"/>
          <w:jc w:val="center"/>
        </w:trPr>
        <w:tc>
          <w:tcPr>
            <w:tcW w:w="344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行政事业性收费</w:t>
            </w:r>
          </w:p>
        </w:tc>
        <w:tc>
          <w:tcPr>
            <w:tcW w:w="579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cs="Times New Roman"/>
                <w:color w:val="auto"/>
                <w:kern w:val="0"/>
                <w:sz w:val="28"/>
                <w:szCs w:val="28"/>
                <w:highlight w:val="none"/>
                <w:shd w:val="clear" w:color="auto" w:fill="auto"/>
                <w:lang w:val="en-US" w:eastAsia="zh-CN" w:bidi="ar-SA"/>
              </w:rPr>
              <w:t>0</w:t>
            </w:r>
          </w:p>
        </w:tc>
      </w:tr>
    </w:tbl>
    <w:p>
      <w:pPr>
        <w:keepNext w:val="0"/>
        <w:keepLines w:val="0"/>
        <w:pageBreakBefore w:val="0"/>
        <w:widowControl/>
        <w:kinsoku/>
        <w:wordWrap/>
        <w:overflowPunct/>
        <w:topLinePunct w:val="0"/>
        <w:autoSpaceDE/>
        <w:autoSpaceDN/>
        <w:bidi w:val="0"/>
        <w:adjustRightInd/>
        <w:snapToGrid/>
        <w:spacing w:after="240" w:line="600" w:lineRule="exact"/>
        <w:ind w:firstLine="640" w:firstLineChars="200"/>
        <w:textAlignment w:val="auto"/>
        <w:rPr>
          <w:rFonts w:hint="eastAsia" w:ascii="黑体" w:hAnsi="黑体" w:eastAsia="黑体" w:cs="黑体"/>
          <w:b w:val="0"/>
          <w:bCs w:val="0"/>
          <w:color w:val="auto"/>
          <w:kern w:val="0"/>
          <w:sz w:val="32"/>
          <w:szCs w:val="32"/>
          <w:highlight w:val="none"/>
          <w:shd w:val="clear" w:color="auto" w:fill="auto"/>
          <w:lang w:bidi="ar-SA"/>
        </w:rPr>
      </w:pPr>
    </w:p>
    <w:p>
      <w:pPr>
        <w:keepNext w:val="0"/>
        <w:keepLines w:val="0"/>
        <w:pageBreakBefore w:val="0"/>
        <w:widowControl/>
        <w:numPr>
          <w:ilvl w:val="0"/>
          <w:numId w:val="2"/>
        </w:numPr>
        <w:kinsoku/>
        <w:wordWrap/>
        <w:overflowPunct/>
        <w:topLinePunct w:val="0"/>
        <w:autoSpaceDE/>
        <w:autoSpaceDN/>
        <w:bidi w:val="0"/>
        <w:adjustRightInd/>
        <w:snapToGrid/>
        <w:spacing w:after="240" w:line="600" w:lineRule="exact"/>
        <w:ind w:firstLine="640" w:firstLineChars="200"/>
        <w:textAlignment w:val="auto"/>
        <w:rPr>
          <w:rFonts w:hint="eastAsia" w:ascii="黑体" w:hAnsi="黑体" w:eastAsia="黑体" w:cs="黑体"/>
          <w:b w:val="0"/>
          <w:bCs w:val="0"/>
          <w:color w:val="auto"/>
          <w:kern w:val="0"/>
          <w:sz w:val="32"/>
          <w:szCs w:val="32"/>
          <w:highlight w:val="none"/>
          <w:shd w:val="clear" w:color="auto" w:fill="auto"/>
          <w:lang w:bidi="ar-SA"/>
        </w:rPr>
      </w:pPr>
      <w:r>
        <w:rPr>
          <w:rFonts w:hint="eastAsia" w:ascii="黑体" w:hAnsi="黑体" w:eastAsia="黑体" w:cs="黑体"/>
          <w:b w:val="0"/>
          <w:bCs w:val="0"/>
          <w:color w:val="auto"/>
          <w:kern w:val="0"/>
          <w:sz w:val="32"/>
          <w:szCs w:val="32"/>
          <w:highlight w:val="none"/>
          <w:shd w:val="clear" w:color="auto" w:fill="auto"/>
          <w:lang w:bidi="ar-SA"/>
        </w:rPr>
        <w:t>收到和处理政府信息公开申请情况</w:t>
      </w:r>
    </w:p>
    <w:p>
      <w:pPr>
        <w:pStyle w:val="2"/>
        <w:numPr>
          <w:ilvl w:val="0"/>
          <w:numId w:val="0"/>
        </w:numPr>
        <w:rPr>
          <w:rFonts w:hint="eastAsia"/>
        </w:rPr>
      </w:pPr>
    </w:p>
    <w:p>
      <w:pPr>
        <w:pStyle w:val="2"/>
        <w:numPr>
          <w:ilvl w:val="0"/>
          <w:numId w:val="0"/>
        </w:numPr>
        <w:rPr>
          <w:rFonts w:hint="eastAsia"/>
        </w:rPr>
      </w:pPr>
    </w:p>
    <w:tbl>
      <w:tblPr>
        <w:tblStyle w:val="5"/>
        <w:tblW w:w="91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0" w:type="dxa"/>
          <w:bottom w:w="0" w:type="dxa"/>
          <w:right w:w="0" w:type="dxa"/>
        </w:tblCellMar>
      </w:tblPr>
      <w:tblGrid>
        <w:gridCol w:w="1628"/>
        <w:gridCol w:w="1232"/>
        <w:gridCol w:w="2062"/>
        <w:gridCol w:w="611"/>
        <w:gridCol w:w="580"/>
        <w:gridCol w:w="623"/>
        <w:gridCol w:w="634"/>
        <w:gridCol w:w="562"/>
        <w:gridCol w:w="631"/>
        <w:gridCol w:w="6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452" w:hRule="atLeast"/>
          <w:jc w:val="center"/>
        </w:trPr>
        <w:tc>
          <w:tcPr>
            <w:tcW w:w="4922" w:type="dxa"/>
            <w:gridSpan w:val="3"/>
            <w:vMerge w:val="restart"/>
            <w:tcBorders>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（本列数据的勾稽关系为：第一项加第二项之和，等于第三项加第四项之和）</w:t>
            </w:r>
          </w:p>
        </w:tc>
        <w:tc>
          <w:tcPr>
            <w:tcW w:w="4258" w:type="dxa"/>
            <w:gridSpan w:val="7"/>
            <w:tcBorders>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452" w:hRule="atLeast"/>
          <w:jc w:val="center"/>
        </w:trPr>
        <w:tc>
          <w:tcPr>
            <w:tcW w:w="4922" w:type="dxa"/>
            <w:gridSpan w:val="3"/>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auto"/>
                <w:kern w:val="0"/>
                <w:sz w:val="28"/>
                <w:szCs w:val="28"/>
                <w:highlight w:val="none"/>
                <w:shd w:val="clear" w:color="auto" w:fill="auto"/>
                <w:lang w:bidi="ar-SA"/>
              </w:rPr>
            </w:pPr>
          </w:p>
        </w:tc>
        <w:tc>
          <w:tcPr>
            <w:tcW w:w="611" w:type="dxa"/>
            <w:vMerge w:val="restart"/>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自然人</w:t>
            </w:r>
          </w:p>
        </w:tc>
        <w:tc>
          <w:tcPr>
            <w:tcW w:w="3030" w:type="dxa"/>
            <w:gridSpan w:val="5"/>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法人或其他组织</w:t>
            </w:r>
          </w:p>
        </w:tc>
        <w:tc>
          <w:tcPr>
            <w:tcW w:w="617" w:type="dxa"/>
            <w:vMerge w:val="restart"/>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2607" w:hRule="atLeast"/>
          <w:jc w:val="center"/>
        </w:trPr>
        <w:tc>
          <w:tcPr>
            <w:tcW w:w="4922" w:type="dxa"/>
            <w:gridSpan w:val="3"/>
            <w:vMerge w:val="continue"/>
            <w:tcBorders>
              <w:top w:val="single" w:color="auto" w:sz="8" w:space="0"/>
              <w:bottom w:val="single" w:color="auto" w:sz="8" w:space="0"/>
            </w:tcBorders>
            <w:noWrap w:val="0"/>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28"/>
                <w:szCs w:val="28"/>
                <w:highlight w:val="none"/>
                <w:shd w:val="clear" w:color="auto" w:fill="auto"/>
                <w:lang w:bidi="ar-SA"/>
              </w:rPr>
            </w:pPr>
          </w:p>
        </w:tc>
        <w:tc>
          <w:tcPr>
            <w:tcW w:w="611"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auto"/>
                <w:kern w:val="0"/>
                <w:sz w:val="28"/>
                <w:szCs w:val="28"/>
                <w:highlight w:val="none"/>
                <w:shd w:val="clear" w:color="auto" w:fill="auto"/>
                <w:lang w:bidi="ar-SA"/>
              </w:rPr>
            </w:pP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商业企业</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科研机构</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社会公益组织</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法律服务机构</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其他</w:t>
            </w:r>
          </w:p>
        </w:tc>
        <w:tc>
          <w:tcPr>
            <w:tcW w:w="617" w:type="dxa"/>
            <w:vMerge w:val="continue"/>
            <w:tcBorders>
              <w:top w:val="single" w:color="auto" w:sz="8" w:space="0"/>
              <w:bottom w:val="single" w:color="auto" w:sz="8" w:space="0"/>
            </w:tcBorders>
            <w:noWrap w:val="0"/>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28"/>
                <w:szCs w:val="28"/>
                <w:highlight w:val="none"/>
                <w:shd w:val="clear" w:color="auto" w:fill="auto"/>
                <w:lang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667" w:hRule="atLeast"/>
          <w:jc w:val="center"/>
        </w:trPr>
        <w:tc>
          <w:tcPr>
            <w:tcW w:w="4922" w:type="dxa"/>
            <w:gridSpan w:val="3"/>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一、本年新收政府信息公开申请数量</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eastAsia" w:cs="Times New Roman"/>
                <w:color w:val="auto"/>
                <w:kern w:val="0"/>
                <w:sz w:val="28"/>
                <w:szCs w:val="28"/>
                <w:highlight w:val="none"/>
                <w:shd w:val="clear" w:color="auto" w:fill="auto"/>
                <w:lang w:val="en-US" w:eastAsia="zh-CN" w:bidi="ar-SA"/>
              </w:rPr>
              <w:t>0</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eastAsia" w:cs="Times New Roman"/>
                <w:color w:val="auto"/>
                <w:kern w:val="0"/>
                <w:sz w:val="28"/>
                <w:szCs w:val="28"/>
                <w:highlight w:val="none"/>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75" w:hRule="atLeast"/>
          <w:jc w:val="center"/>
        </w:trPr>
        <w:tc>
          <w:tcPr>
            <w:tcW w:w="4922" w:type="dxa"/>
            <w:gridSpan w:val="3"/>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二、上年结转政府信息公开申请数量</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35" w:hRule="atLeast"/>
          <w:jc w:val="center"/>
        </w:trPr>
        <w:tc>
          <w:tcPr>
            <w:tcW w:w="1628" w:type="dxa"/>
            <w:vMerge w:val="restart"/>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rPr>
                <w:rFonts w:hint="default" w:ascii="Times New Roman" w:hAnsi="Times New Roman" w:eastAsia="仿宋_GB2312" w:cs="Times New Roman"/>
                <w:color w:val="auto"/>
                <w:kern w:val="0"/>
                <w:sz w:val="28"/>
                <w:szCs w:val="28"/>
                <w:highlight w:val="none"/>
                <w:shd w:val="clear" w:color="auto" w:fill="auto"/>
                <w:lang w:bidi="ar-SA"/>
              </w:rPr>
            </w:pPr>
          </w:p>
          <w:p>
            <w:pPr>
              <w:pStyle w:val="3"/>
              <w:rPr>
                <w:rFonts w:hint="default" w:ascii="Times New Roman" w:hAnsi="Times New Roman" w:eastAsia="仿宋_GB2312" w:cs="Times New Roman"/>
                <w:color w:val="auto"/>
                <w:kern w:val="0"/>
                <w:sz w:val="28"/>
                <w:szCs w:val="28"/>
                <w:highlight w:val="none"/>
                <w:shd w:val="clear" w:color="auto" w:fill="auto"/>
                <w:lang w:bidi="ar-SA"/>
              </w:rPr>
            </w:pPr>
          </w:p>
          <w:p>
            <w:pPr>
              <w:pStyle w:val="3"/>
              <w:rPr>
                <w:rFonts w:hint="default" w:ascii="Times New Roman" w:hAnsi="Times New Roman" w:eastAsia="仿宋_GB2312" w:cs="Times New Roman"/>
                <w:color w:val="auto"/>
                <w:kern w:val="0"/>
                <w:sz w:val="28"/>
                <w:szCs w:val="28"/>
                <w:highlight w:val="none"/>
                <w:shd w:val="clear" w:color="auto" w:fill="auto"/>
                <w:lang w:bidi="ar-SA"/>
              </w:rPr>
            </w:pPr>
          </w:p>
          <w:p>
            <w:pPr>
              <w:pStyle w:val="3"/>
              <w:rPr>
                <w:rFonts w:hint="default" w:ascii="Times New Roman" w:hAnsi="Times New Roman" w:eastAsia="仿宋_GB2312" w:cs="Times New Roman"/>
                <w:color w:val="auto"/>
                <w:kern w:val="0"/>
                <w:sz w:val="28"/>
                <w:szCs w:val="28"/>
                <w:highlight w:val="none"/>
                <w:shd w:val="clear" w:color="auto" w:fill="auto"/>
                <w:lang w:bidi="ar-SA"/>
              </w:rPr>
            </w:pPr>
          </w:p>
          <w:p>
            <w:pPr>
              <w:pStyle w:val="3"/>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三、本年度</w:t>
            </w:r>
            <w:r>
              <w:rPr>
                <w:rFonts w:hint="eastAsia" w:ascii="Times New Roman" w:hAnsi="Times New Roman" w:cs="Times New Roman"/>
                <w:color w:val="auto"/>
                <w:kern w:val="0"/>
                <w:sz w:val="28"/>
                <w:szCs w:val="28"/>
                <w:highlight w:val="none"/>
                <w:shd w:val="clear" w:color="auto" w:fill="auto"/>
                <w:lang w:val="en-US" w:eastAsia="zh-CN" w:bidi="ar-SA"/>
              </w:rPr>
              <w:t xml:space="preserve"> </w:t>
            </w:r>
            <w:r>
              <w:rPr>
                <w:rFonts w:hint="default" w:ascii="Times New Roman" w:hAnsi="Times New Roman" w:eastAsia="仿宋_GB2312" w:cs="Times New Roman"/>
                <w:color w:val="auto"/>
                <w:kern w:val="0"/>
                <w:sz w:val="28"/>
                <w:szCs w:val="28"/>
                <w:highlight w:val="none"/>
                <w:shd w:val="clear" w:color="auto" w:fill="auto"/>
                <w:lang w:bidi="ar-SA"/>
              </w:rPr>
              <w:t>办理结果</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pStyle w:val="3"/>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三、本年度</w:t>
            </w:r>
            <w:r>
              <w:rPr>
                <w:rFonts w:hint="eastAsia" w:ascii="Times New Roman" w:hAnsi="Times New Roman" w:cs="Times New Roman"/>
                <w:color w:val="auto"/>
                <w:kern w:val="0"/>
                <w:sz w:val="28"/>
                <w:szCs w:val="28"/>
                <w:highlight w:val="none"/>
                <w:shd w:val="clear" w:color="auto" w:fill="auto"/>
                <w:lang w:val="en-US" w:eastAsia="zh-CN" w:bidi="ar-SA"/>
              </w:rPr>
              <w:t xml:space="preserve"> </w:t>
            </w:r>
            <w:r>
              <w:rPr>
                <w:rFonts w:hint="default" w:ascii="Times New Roman" w:hAnsi="Times New Roman" w:eastAsia="仿宋_GB2312" w:cs="Times New Roman"/>
                <w:color w:val="auto"/>
                <w:kern w:val="0"/>
                <w:sz w:val="28"/>
                <w:szCs w:val="28"/>
                <w:highlight w:val="none"/>
                <w:shd w:val="clear" w:color="auto" w:fill="auto"/>
                <w:lang w:bidi="ar-SA"/>
              </w:rPr>
              <w:t>办理结果</w:t>
            </w:r>
          </w:p>
        </w:tc>
        <w:tc>
          <w:tcPr>
            <w:tcW w:w="3294" w:type="dxa"/>
            <w:gridSpan w:val="2"/>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（一）予以公开</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055" w:hRule="atLeast"/>
          <w:jc w:val="center"/>
        </w:trPr>
        <w:tc>
          <w:tcPr>
            <w:tcW w:w="1628"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3294" w:type="dxa"/>
            <w:gridSpan w:val="2"/>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（二）部分公开（区分处理的，只计这一情形，不计其他情形）</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711" w:hRule="atLeast"/>
          <w:jc w:val="center"/>
        </w:trPr>
        <w:tc>
          <w:tcPr>
            <w:tcW w:w="1628"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restart"/>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（三）不予公开</w:t>
            </w: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1</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属于国家秘密</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055" w:hRule="atLeast"/>
          <w:jc w:val="center"/>
        </w:trPr>
        <w:tc>
          <w:tcPr>
            <w:tcW w:w="1628"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2</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其他法律行政法规禁止公开</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711" w:hRule="atLeast"/>
          <w:jc w:val="center"/>
        </w:trPr>
        <w:tc>
          <w:tcPr>
            <w:tcW w:w="1628"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3</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危及</w:t>
            </w:r>
            <w:r>
              <w:rPr>
                <w:rFonts w:hint="default"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三安全一稳定</w:t>
            </w:r>
            <w:r>
              <w:rPr>
                <w:rFonts w:hint="default" w:ascii="Times New Roman" w:hAnsi="Times New Roman" w:cs="Times New Roman"/>
                <w:color w:val="auto"/>
                <w:kern w:val="0"/>
                <w:sz w:val="28"/>
                <w:szCs w:val="28"/>
                <w:highlight w:val="none"/>
                <w:shd w:val="clear" w:color="auto" w:fill="auto"/>
                <w:lang w:eastAsia="zh-CN" w:bidi="ar-SA"/>
              </w:rPr>
              <w:t>”</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711" w:hRule="atLeast"/>
          <w:jc w:val="center"/>
        </w:trPr>
        <w:tc>
          <w:tcPr>
            <w:tcW w:w="1628"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4</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保护第三方合法权益</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eastAsia" w:cs="Times New Roman"/>
                <w:color w:val="auto"/>
                <w:kern w:val="0"/>
                <w:sz w:val="28"/>
                <w:szCs w:val="28"/>
                <w:highlight w:val="none"/>
                <w:shd w:val="clear" w:color="auto" w:fill="auto"/>
                <w:lang w:val="en-US" w:eastAsia="zh-CN" w:bidi="ar-SA"/>
              </w:rPr>
              <w:t>0</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eastAsia" w:cs="Times New Roman"/>
                <w:color w:val="auto"/>
                <w:kern w:val="0"/>
                <w:sz w:val="28"/>
                <w:szCs w:val="28"/>
                <w:highlight w:val="none"/>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711" w:hRule="atLeast"/>
          <w:jc w:val="center"/>
        </w:trPr>
        <w:tc>
          <w:tcPr>
            <w:tcW w:w="1628"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5</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属于三类内部事务信息</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99" w:hRule="atLeast"/>
          <w:jc w:val="center"/>
        </w:trPr>
        <w:tc>
          <w:tcPr>
            <w:tcW w:w="1628"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6</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属于四类过程性信息</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711" w:hRule="atLeast"/>
          <w:jc w:val="center"/>
        </w:trPr>
        <w:tc>
          <w:tcPr>
            <w:tcW w:w="1628" w:type="dxa"/>
            <w:vMerge w:val="continue"/>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7</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属于行政执法案卷</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130"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8</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属于行政查询事项</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91"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（四）无法提供</w:t>
            </w: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1</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本机关不掌握相关政府信息</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91"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2</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没有现成信息需要另行制作</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667"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3</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补正后申请内容仍不明确</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667"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（五）不予处理</w:t>
            </w: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1</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信访举报投诉类申请</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92"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2</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重复申请</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667"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3</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要求提供公开出版物</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667"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4</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无正当理由大量反复申请</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314"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5</w:t>
            </w:r>
            <w:r>
              <w:rPr>
                <w:rFonts w:hint="eastAsia" w:ascii="Times New Roman" w:hAnsi="Times New Roman" w:cs="Times New Roman"/>
                <w:color w:val="auto"/>
                <w:kern w:val="0"/>
                <w:sz w:val="28"/>
                <w:szCs w:val="28"/>
                <w:highlight w:val="none"/>
                <w:shd w:val="clear" w:color="auto" w:fill="auto"/>
                <w:lang w:eastAsia="zh-CN" w:bidi="ar-SA"/>
              </w:rPr>
              <w:t>．</w:t>
            </w:r>
            <w:r>
              <w:rPr>
                <w:rFonts w:hint="default" w:ascii="Times New Roman" w:hAnsi="Times New Roman" w:eastAsia="仿宋_GB2312" w:cs="Times New Roman"/>
                <w:color w:val="auto"/>
                <w:kern w:val="0"/>
                <w:sz w:val="28"/>
                <w:szCs w:val="28"/>
                <w:highlight w:val="none"/>
                <w:shd w:val="clear" w:color="auto" w:fill="auto"/>
                <w:lang w:bidi="ar-SA"/>
              </w:rPr>
              <w:t>要求行政机关确认或重新出具已获取信息</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960"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1232" w:type="dxa"/>
            <w:vMerge w:val="restart"/>
            <w:tcBorders>
              <w:tl2br w:val="nil"/>
              <w:tr2bl w:val="nil"/>
            </w:tcBorders>
            <w:noWrap w:val="0"/>
            <w:tcMar>
              <w:top w:w="0" w:type="dxa"/>
              <w:left w:w="108" w:type="dxa"/>
              <w:bottom w:w="0" w:type="dxa"/>
              <w:right w:w="108" w:type="dxa"/>
            </w:tcMar>
            <w:vAlign w:val="center"/>
          </w:tcPr>
          <w:p>
            <w:pPr>
              <w:rPr>
                <w:color w:val="auto"/>
                <w:highlight w:val="none"/>
                <w:shd w:val="clear" w:color="auto" w:fill="auto"/>
              </w:rPr>
            </w:pPr>
            <w:r>
              <w:rPr>
                <w:rFonts w:hint="default" w:ascii="Times New Roman" w:hAnsi="Times New Roman" w:eastAsia="仿宋_GB2312" w:cs="Times New Roman"/>
                <w:color w:val="auto"/>
                <w:kern w:val="0"/>
                <w:sz w:val="28"/>
                <w:szCs w:val="28"/>
                <w:highlight w:val="none"/>
                <w:shd w:val="clear" w:color="auto" w:fill="auto"/>
                <w:lang w:bidi="ar-SA"/>
              </w:rPr>
              <w:t>（六）其他处理</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1.申请人无正当理由逾期不补正、行政机关不再处理其政府信息公开申请</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960"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color w:val="auto"/>
                <w:highlight w:val="none"/>
                <w:shd w:val="clear" w:color="auto" w:fill="auto"/>
              </w:rPr>
            </w:pPr>
          </w:p>
        </w:tc>
        <w:tc>
          <w:tcPr>
            <w:tcW w:w="1232" w:type="dxa"/>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color w:val="auto"/>
                <w:highlight w:val="none"/>
                <w:shd w:val="clear" w:color="auto" w:fill="auto"/>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2.申请人逾期未按收费通知要求缴纳费用、行政机关不再处理其政府信息公开申请</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69"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color w:val="auto"/>
                <w:highlight w:val="none"/>
                <w:shd w:val="clear" w:color="auto" w:fill="auto"/>
              </w:rPr>
            </w:pPr>
          </w:p>
        </w:tc>
        <w:tc>
          <w:tcPr>
            <w:tcW w:w="1232" w:type="dxa"/>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color w:val="auto"/>
                <w:highlight w:val="none"/>
                <w:shd w:val="clear" w:color="auto" w:fill="auto"/>
              </w:rPr>
            </w:pPr>
          </w:p>
        </w:tc>
        <w:tc>
          <w:tcPr>
            <w:tcW w:w="20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ascii="Times New Roman" w:hAnsi="Times New Roman" w:cs="Times New Roman"/>
                <w:color w:val="auto"/>
                <w:kern w:val="0"/>
                <w:sz w:val="28"/>
                <w:szCs w:val="28"/>
                <w:highlight w:val="none"/>
                <w:shd w:val="clear" w:color="auto" w:fill="auto"/>
                <w:lang w:val="en-US" w:eastAsia="zh-CN" w:bidi="ar-SA"/>
              </w:rPr>
              <w:t>3.其他</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r>
              <w:rPr>
                <w:rFonts w:hint="default" w:ascii="Times New Roman" w:hAnsi="Times New Roman" w:eastAsia="仿宋_GB2312" w:cs="Times New Roman"/>
                <w:color w:val="auto"/>
                <w:kern w:val="0"/>
                <w:sz w:val="28"/>
                <w:szCs w:val="28"/>
                <w:highlight w:val="none"/>
                <w:shd w:val="clear" w:color="auto" w:fill="auto"/>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711" w:hRule="atLeast"/>
          <w:jc w:val="center"/>
        </w:trPr>
        <w:tc>
          <w:tcPr>
            <w:tcW w:w="16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3294" w:type="dxa"/>
            <w:gridSpan w:val="2"/>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（七）总计</w:t>
            </w:r>
          </w:p>
        </w:tc>
        <w:tc>
          <w:tcPr>
            <w:tcW w:w="61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eastAsia="zh-CN"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eastAsia" w:cs="Times New Roman"/>
                <w:color w:val="auto"/>
                <w:kern w:val="0"/>
                <w:sz w:val="28"/>
                <w:szCs w:val="28"/>
                <w:highlight w:val="none"/>
                <w:shd w:val="clear" w:color="auto" w:fill="auto"/>
                <w:lang w:val="en-US" w:eastAsia="zh-CN" w:bidi="ar-SA"/>
              </w:rPr>
              <w:t>0</w:t>
            </w:r>
          </w:p>
        </w:tc>
        <w:tc>
          <w:tcPr>
            <w:tcW w:w="6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eastAsia" w:cs="Times New Roman"/>
                <w:color w:val="auto"/>
                <w:kern w:val="0"/>
                <w:sz w:val="28"/>
                <w:szCs w:val="28"/>
                <w:highlight w:val="none"/>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764" w:hRule="atLeast"/>
          <w:jc w:val="center"/>
        </w:trPr>
        <w:tc>
          <w:tcPr>
            <w:tcW w:w="4922" w:type="dxa"/>
            <w:gridSpan w:val="3"/>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四、结转下年度继续办理</w:t>
            </w:r>
          </w:p>
        </w:tc>
        <w:tc>
          <w:tcPr>
            <w:tcW w:w="611"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23"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4"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2"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31"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617"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bidi="ar-SA"/>
              </w:rPr>
              <w:t> </w:t>
            </w: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r>
    </w:tbl>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kern w:val="0"/>
          <w:sz w:val="32"/>
          <w:szCs w:val="32"/>
          <w:highlight w:val="none"/>
          <w:shd w:val="clear" w:color="auto" w:fill="auto"/>
          <w:lang w:bidi="ar-SA"/>
        </w:rPr>
      </w:pPr>
      <w:r>
        <w:rPr>
          <w:rFonts w:hint="eastAsia" w:ascii="黑体" w:hAnsi="黑体" w:eastAsia="黑体" w:cs="黑体"/>
          <w:b w:val="0"/>
          <w:bCs w:val="0"/>
          <w:color w:val="auto"/>
          <w:kern w:val="0"/>
          <w:sz w:val="32"/>
          <w:szCs w:val="32"/>
          <w:highlight w:val="none"/>
          <w:shd w:val="clear" w:color="auto" w:fill="auto"/>
          <w:lang w:bidi="ar-SA"/>
        </w:rPr>
        <w:t>四、政府信息公开行政复议、行政诉讼情况</w:t>
      </w:r>
    </w:p>
    <w:tbl>
      <w:tblPr>
        <w:tblStyle w:val="5"/>
        <w:tblW w:w="8564" w:type="dxa"/>
        <w:jc w:val="center"/>
        <w:tblLayout w:type="fixed"/>
        <w:tblCellMar>
          <w:top w:w="0" w:type="dxa"/>
          <w:left w:w="0" w:type="dxa"/>
          <w:bottom w:w="0" w:type="dxa"/>
          <w:right w:w="0" w:type="dxa"/>
        </w:tblCellMar>
      </w:tblPr>
      <w:tblGrid>
        <w:gridCol w:w="587"/>
        <w:gridCol w:w="560"/>
        <w:gridCol w:w="590"/>
        <w:gridCol w:w="568"/>
        <w:gridCol w:w="564"/>
        <w:gridCol w:w="585"/>
        <w:gridCol w:w="580"/>
        <w:gridCol w:w="580"/>
        <w:gridCol w:w="530"/>
        <w:gridCol w:w="510"/>
        <w:gridCol w:w="638"/>
        <w:gridCol w:w="582"/>
        <w:gridCol w:w="580"/>
        <w:gridCol w:w="550"/>
        <w:gridCol w:w="560"/>
      </w:tblGrid>
      <w:tr>
        <w:tblPrEx>
          <w:tblCellMar>
            <w:top w:w="0" w:type="dxa"/>
            <w:left w:w="0" w:type="dxa"/>
            <w:bottom w:w="0" w:type="dxa"/>
            <w:right w:w="0" w:type="dxa"/>
          </w:tblCellMar>
        </w:tblPrEx>
        <w:trPr>
          <w:trHeight w:val="640" w:hRule="atLeast"/>
          <w:jc w:val="center"/>
        </w:trPr>
        <w:tc>
          <w:tcPr>
            <w:tcW w:w="2869"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行政复议</w:t>
            </w:r>
          </w:p>
        </w:tc>
        <w:tc>
          <w:tcPr>
            <w:tcW w:w="5695"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行政诉讼</w:t>
            </w:r>
          </w:p>
        </w:tc>
      </w:tr>
      <w:tr>
        <w:tblPrEx>
          <w:tblCellMar>
            <w:top w:w="0" w:type="dxa"/>
            <w:left w:w="0" w:type="dxa"/>
            <w:bottom w:w="0" w:type="dxa"/>
            <w:right w:w="0" w:type="dxa"/>
          </w:tblCellMar>
        </w:tblPrEx>
        <w:trPr>
          <w:trHeight w:val="660" w:hRule="atLeast"/>
          <w:jc w:val="center"/>
        </w:trPr>
        <w:tc>
          <w:tcPr>
            <w:tcW w:w="58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结果维持</w:t>
            </w:r>
          </w:p>
        </w:tc>
        <w:tc>
          <w:tcPr>
            <w:tcW w:w="56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结果纠正</w:t>
            </w:r>
          </w:p>
        </w:tc>
        <w:tc>
          <w:tcPr>
            <w:tcW w:w="590"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其他结果</w:t>
            </w:r>
          </w:p>
        </w:tc>
        <w:tc>
          <w:tcPr>
            <w:tcW w:w="56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尚未审结</w:t>
            </w:r>
          </w:p>
        </w:tc>
        <w:tc>
          <w:tcPr>
            <w:tcW w:w="56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总计</w:t>
            </w:r>
          </w:p>
        </w:tc>
        <w:tc>
          <w:tcPr>
            <w:tcW w:w="278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未经复议直接起诉</w:t>
            </w:r>
          </w:p>
        </w:tc>
        <w:tc>
          <w:tcPr>
            <w:tcW w:w="291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复议后起诉</w:t>
            </w:r>
          </w:p>
        </w:tc>
      </w:tr>
      <w:tr>
        <w:tblPrEx>
          <w:tblCellMar>
            <w:top w:w="0" w:type="dxa"/>
            <w:left w:w="0" w:type="dxa"/>
            <w:bottom w:w="0" w:type="dxa"/>
            <w:right w:w="0" w:type="dxa"/>
          </w:tblCellMar>
        </w:tblPrEx>
        <w:trPr>
          <w:trHeight w:val="1730" w:hRule="atLeast"/>
          <w:jc w:val="center"/>
        </w:trPr>
        <w:tc>
          <w:tcPr>
            <w:tcW w:w="58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560"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590"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568"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564"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p>
        </w:tc>
        <w:tc>
          <w:tcPr>
            <w:tcW w:w="5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结果维持</w:t>
            </w:r>
          </w:p>
        </w:tc>
        <w:tc>
          <w:tcPr>
            <w:tcW w:w="5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结果纠正</w:t>
            </w:r>
          </w:p>
        </w:tc>
        <w:tc>
          <w:tcPr>
            <w:tcW w:w="58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其他结果</w:t>
            </w:r>
          </w:p>
        </w:tc>
        <w:tc>
          <w:tcPr>
            <w:tcW w:w="5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尚未审结</w:t>
            </w:r>
          </w:p>
        </w:tc>
        <w:tc>
          <w:tcPr>
            <w:tcW w:w="5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计</w:t>
            </w:r>
          </w:p>
        </w:tc>
        <w:tc>
          <w:tcPr>
            <w:tcW w:w="6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结果维持</w:t>
            </w:r>
          </w:p>
        </w:tc>
        <w:tc>
          <w:tcPr>
            <w:tcW w:w="58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结果纠正</w:t>
            </w:r>
          </w:p>
        </w:tc>
        <w:tc>
          <w:tcPr>
            <w:tcW w:w="58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其他结果</w:t>
            </w:r>
          </w:p>
        </w:tc>
        <w:tc>
          <w:tcPr>
            <w:tcW w:w="55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尚未审结</w:t>
            </w:r>
          </w:p>
        </w:tc>
        <w:tc>
          <w:tcPr>
            <w:tcW w:w="5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bidi="ar-SA"/>
              </w:rPr>
              <w:t>总计</w:t>
            </w:r>
          </w:p>
        </w:tc>
      </w:tr>
      <w:tr>
        <w:tblPrEx>
          <w:tblCellMar>
            <w:top w:w="0" w:type="dxa"/>
            <w:left w:w="0" w:type="dxa"/>
            <w:bottom w:w="0" w:type="dxa"/>
            <w:right w:w="0" w:type="dxa"/>
          </w:tblCellMar>
        </w:tblPrEx>
        <w:trPr>
          <w:trHeight w:val="590" w:hRule="atLeast"/>
          <w:jc w:val="center"/>
        </w:trPr>
        <w:tc>
          <w:tcPr>
            <w:tcW w:w="58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cs="Times New Roman"/>
                <w:color w:val="auto"/>
                <w:kern w:val="0"/>
                <w:sz w:val="28"/>
                <w:szCs w:val="28"/>
                <w:highlight w:val="none"/>
                <w:shd w:val="clear" w:color="auto" w:fill="auto"/>
                <w:lang w:val="en-US" w:eastAsia="zh-CN" w:bidi="ar-SA"/>
              </w:rPr>
              <w:t>0</w:t>
            </w:r>
          </w:p>
        </w:tc>
        <w:tc>
          <w:tcPr>
            <w:tcW w:w="5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eastAsia" w:cs="Times New Roman"/>
                <w:color w:val="auto"/>
                <w:kern w:val="0"/>
                <w:sz w:val="28"/>
                <w:szCs w:val="28"/>
                <w:highlight w:val="none"/>
                <w:shd w:val="clear" w:color="auto" w:fill="auto"/>
                <w:lang w:val="en-US" w:eastAsia="zh-CN" w:bidi="ar-SA"/>
              </w:rPr>
              <w:t>0</w:t>
            </w:r>
          </w:p>
        </w:tc>
        <w:tc>
          <w:tcPr>
            <w:tcW w:w="5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eastAsia" w:cs="Times New Roman"/>
                <w:color w:val="auto"/>
                <w:kern w:val="0"/>
                <w:sz w:val="28"/>
                <w:szCs w:val="28"/>
                <w:highlight w:val="none"/>
                <w:shd w:val="clear" w:color="auto" w:fill="auto"/>
                <w:lang w:val="en-US" w:eastAsia="zh-CN" w:bidi="ar-SA"/>
              </w:rPr>
              <w:t>0</w:t>
            </w:r>
          </w:p>
        </w:tc>
        <w:tc>
          <w:tcPr>
            <w:tcW w:w="56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cs="Times New Roman"/>
                <w:color w:val="auto"/>
                <w:kern w:val="0"/>
                <w:sz w:val="28"/>
                <w:szCs w:val="28"/>
                <w:highlight w:val="none"/>
                <w:shd w:val="clear" w:color="auto" w:fill="auto"/>
                <w:lang w:val="en-US" w:eastAsia="zh-CN" w:bidi="ar-SA"/>
              </w:rPr>
              <w:t>0</w:t>
            </w:r>
          </w:p>
        </w:tc>
        <w:tc>
          <w:tcPr>
            <w:tcW w:w="5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cs="Times New Roman"/>
                <w:color w:val="auto"/>
                <w:kern w:val="0"/>
                <w:sz w:val="28"/>
                <w:szCs w:val="28"/>
                <w:highlight w:val="none"/>
                <w:shd w:val="clear" w:color="auto" w:fill="auto"/>
                <w:lang w:val="en-US" w:eastAsia="zh-CN" w:bidi="ar-SA"/>
              </w:rPr>
              <w:t>0</w:t>
            </w:r>
          </w:p>
        </w:tc>
        <w:tc>
          <w:tcPr>
            <w:tcW w:w="5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eastAsia" w:cs="Times New Roman"/>
                <w:color w:val="auto"/>
                <w:kern w:val="0"/>
                <w:sz w:val="28"/>
                <w:szCs w:val="28"/>
                <w:highlight w:val="none"/>
                <w:shd w:val="clear" w:color="auto" w:fill="auto"/>
                <w:lang w:val="en-US" w:eastAsia="zh-CN" w:bidi="ar-SA"/>
              </w:rPr>
              <w:t>0</w:t>
            </w:r>
          </w:p>
        </w:tc>
        <w:tc>
          <w:tcPr>
            <w:tcW w:w="5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eastAsia" w:cs="Times New Roman"/>
                <w:color w:val="auto"/>
                <w:kern w:val="0"/>
                <w:sz w:val="28"/>
                <w:szCs w:val="28"/>
                <w:highlight w:val="none"/>
                <w:shd w:val="clear" w:color="auto" w:fill="auto"/>
                <w:lang w:val="en-US" w:eastAsia="zh-CN" w:bidi="ar-SA"/>
              </w:rPr>
              <w:t>0</w:t>
            </w:r>
          </w:p>
        </w:tc>
        <w:tc>
          <w:tcPr>
            <w:tcW w:w="63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c>
          <w:tcPr>
            <w:tcW w:w="5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color w:val="auto"/>
                <w:kern w:val="0"/>
                <w:sz w:val="28"/>
                <w:szCs w:val="28"/>
                <w:highlight w:val="none"/>
                <w:shd w:val="clear" w:color="auto" w:fill="auto"/>
                <w:lang w:val="en-US" w:eastAsia="zh-CN" w:bidi="ar-SA"/>
              </w:rPr>
            </w:pPr>
            <w:r>
              <w:rPr>
                <w:rFonts w:hint="default" w:ascii="Times New Roman" w:hAnsi="Times New Roman" w:eastAsia="仿宋_GB2312" w:cs="Times New Roman"/>
                <w:color w:val="auto"/>
                <w:kern w:val="0"/>
                <w:sz w:val="28"/>
                <w:szCs w:val="28"/>
                <w:highlight w:val="none"/>
                <w:shd w:val="clear" w:color="auto" w:fill="auto"/>
                <w:lang w:val="en-US" w:eastAsia="zh-CN" w:bidi="ar-SA"/>
              </w:rPr>
              <w:t>0</w:t>
            </w:r>
          </w:p>
        </w:tc>
      </w:tr>
    </w:tbl>
    <w:p>
      <w:pPr>
        <w:pStyle w:val="3"/>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auto"/>
          <w:lang w:eastAsia="zh-CN"/>
        </w:rPr>
      </w:pPr>
      <w:r>
        <w:rPr>
          <w:rFonts w:hint="default" w:ascii="黑体" w:hAnsi="黑体" w:eastAsia="黑体" w:cs="黑体"/>
          <w:color w:val="auto"/>
          <w:sz w:val="32"/>
          <w:szCs w:val="32"/>
          <w:highlight w:val="none"/>
          <w:shd w:val="clear" w:color="auto" w:fill="auto"/>
          <w:lang w:eastAsia="zh-CN"/>
        </w:rPr>
        <w:t>五、存在的主要问题及改进情况</w:t>
      </w:r>
    </w:p>
    <w:p>
      <w:pPr>
        <w:pStyle w:val="3"/>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outlineLvl w:val="9"/>
        <w:rPr>
          <w:rFonts w:hint="eastAsia" w:ascii="楷体_GB2312" w:hAnsi="楷体_GB2312" w:eastAsia="楷体_GB2312" w:cs="楷体_GB2312"/>
          <w:color w:val="auto"/>
          <w:sz w:val="32"/>
          <w:szCs w:val="32"/>
          <w:highlight w:val="none"/>
          <w:shd w:val="clear" w:color="auto" w:fill="auto"/>
          <w:lang w:eastAsia="zh-CN"/>
        </w:rPr>
      </w:pPr>
      <w:r>
        <w:rPr>
          <w:rFonts w:hint="eastAsia" w:ascii="楷体_GB2312" w:hAnsi="楷体_GB2312" w:eastAsia="楷体_GB2312" w:cs="楷体_GB2312"/>
          <w:color w:val="auto"/>
          <w:sz w:val="32"/>
          <w:szCs w:val="32"/>
          <w:highlight w:val="none"/>
          <w:shd w:val="clear" w:color="auto" w:fill="auto"/>
          <w:lang w:eastAsia="zh-CN"/>
        </w:rPr>
        <w:t>存在的主要问题有：</w:t>
      </w:r>
    </w:p>
    <w:p>
      <w:pPr>
        <w:pStyle w:val="3"/>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图表图解制作不到位；宣传不到位；公众参与渠道不方便、不充足</w:t>
      </w:r>
      <w:r>
        <w:rPr>
          <w:rFonts w:hint="eastAsia" w:ascii="仿宋_GB2312" w:hAnsi="仿宋_GB2312" w:eastAsia="仿宋_GB2312" w:cs="仿宋_GB2312"/>
          <w:strike w:val="0"/>
          <w:dstrike w:val="0"/>
          <w:color w:val="auto"/>
          <w:sz w:val="28"/>
          <w:szCs w:val="28"/>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部分分管领导对政务公开工作的重要性认识不足，队伍专业化水平还需进一步提高。</w:t>
      </w:r>
    </w:p>
    <w:p>
      <w:pPr>
        <w:pStyle w:val="3"/>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outlineLvl w:val="9"/>
        <w:rPr>
          <w:rFonts w:hint="default" w:ascii="楷体_GB2312" w:hAnsi="楷体_GB2312" w:eastAsia="楷体_GB2312" w:cs="楷体_GB2312"/>
          <w:color w:val="auto"/>
          <w:sz w:val="32"/>
          <w:szCs w:val="32"/>
          <w:highlight w:val="none"/>
          <w:shd w:val="clear" w:color="auto" w:fill="auto"/>
          <w:lang w:eastAsia="zh-CN"/>
        </w:rPr>
      </w:pPr>
      <w:r>
        <w:rPr>
          <w:rFonts w:hint="default" w:ascii="楷体_GB2312" w:hAnsi="楷体_GB2312" w:eastAsia="楷体_GB2312" w:cs="楷体_GB2312"/>
          <w:color w:val="auto"/>
          <w:sz w:val="32"/>
          <w:szCs w:val="32"/>
          <w:highlight w:val="none"/>
          <w:shd w:val="clear" w:color="auto" w:fill="auto"/>
          <w:lang w:eastAsia="zh-CN"/>
        </w:rPr>
        <w:t>改进措施：</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制作图表图解时，重点对政策的背景、意义、作用、关键词、新旧政策差异等方面进行解读，对于群众提出的意见进行定期回访整改，并加强图表的普及宣传工作。</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color w:val="auto"/>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eastAsia="zh-CN"/>
        </w:rPr>
        <w:t>在便民服务中心、单位门口宣传栏定期公开政务服务工作内容，包村干部下乡时发放宣传政务办理方式的手册，帮村民在手机上打开芮城县政府官网，来宣传政务公开工作，扩大村民对政策的了解，定期开展政策讲解活动。</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_GB2312" w:hAnsi="仿宋_GB2312" w:eastAsia="仿宋_GB2312" w:cs="仿宋_GB2312"/>
          <w:color w:val="auto"/>
          <w:kern w:val="2"/>
          <w:sz w:val="32"/>
          <w:szCs w:val="32"/>
          <w:highlight w:val="none"/>
          <w:shd w:val="clear" w:color="auto" w:fill="auto"/>
          <w:lang w:val="en-US" w:eastAsia="zh-CN" w:bidi="ar-SA"/>
        </w:rPr>
        <w:t>定期开展领导干部政务公开学习会议与政务公开培训，不断提高干部的业务素质和工作水平。</w:t>
      </w:r>
    </w:p>
    <w:p>
      <w:pPr>
        <w:pStyle w:val="3"/>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outlineLvl w:val="9"/>
        <w:rPr>
          <w:rFonts w:hint="eastAsia" w:ascii="黑体" w:hAnsi="黑体" w:eastAsia="黑体" w:cs="黑体"/>
          <w:color w:val="auto"/>
          <w:sz w:val="32"/>
          <w:szCs w:val="32"/>
          <w:highlight w:val="none"/>
          <w:shd w:val="clear" w:color="auto" w:fill="auto"/>
          <w:lang w:eastAsia="zh-CN"/>
        </w:rPr>
      </w:pPr>
      <w:r>
        <w:rPr>
          <w:rFonts w:hint="eastAsia" w:ascii="黑体" w:hAnsi="黑体" w:eastAsia="黑体" w:cs="黑体"/>
          <w:color w:val="auto"/>
          <w:sz w:val="32"/>
          <w:szCs w:val="32"/>
          <w:highlight w:val="none"/>
          <w:shd w:val="clear" w:color="auto" w:fill="auto"/>
          <w:lang w:eastAsia="zh-CN"/>
        </w:rPr>
        <w:t>六、其他需要报告的事项</w:t>
      </w:r>
    </w:p>
    <w:p>
      <w:pPr>
        <w:pStyle w:val="3"/>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无</w:t>
      </w:r>
    </w:p>
    <w:p>
      <w:pPr>
        <w:pStyle w:val="3"/>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outlineLvl w:val="9"/>
        <w:rPr>
          <w:rFonts w:hint="eastAsia" w:ascii="Times New Roman" w:hAnsi="Times New Roman" w:eastAsia="仿宋_GB2312" w:cs="Times New Roman"/>
          <w:color w:val="auto"/>
          <w:sz w:val="32"/>
          <w:szCs w:val="32"/>
          <w:highlight w:val="none"/>
          <w:shd w:val="clear" w:color="auto" w:fill="auto"/>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outlineLvl w:val="9"/>
        <w:rPr>
          <w:rFonts w:hint="eastAsia" w:ascii="Times New Roman" w:hAnsi="Times New Roman" w:eastAsia="仿宋_GB2312" w:cs="Times New Roman"/>
          <w:color w:val="auto"/>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cs="Times New Roman"/>
          <w:color w:val="auto"/>
          <w:sz w:val="32"/>
          <w:highlight w:val="none"/>
          <w:shd w:val="clear" w:color="auto" w:fill="auto"/>
          <w:lang w:val="en-US" w:eastAsia="zh-CN"/>
        </w:rPr>
      </w:pPr>
      <w:r>
        <w:rPr>
          <w:rFonts w:hint="eastAsia" w:ascii="Times New Roman" w:hAnsi="Times New Roman" w:cs="Times New Roman"/>
          <w:color w:val="auto"/>
          <w:sz w:val="32"/>
          <w:highlight w:val="none"/>
          <w:shd w:val="clear" w:color="auto" w:fill="auto"/>
          <w:lang w:val="en-US" w:eastAsia="zh-CN"/>
        </w:rPr>
        <w:t xml:space="preserve">                            </w:t>
      </w:r>
      <w:r>
        <w:rPr>
          <w:rFonts w:hint="eastAsia" w:ascii="Times New Roman" w:hAnsi="Times New Roman" w:cs="Times New Roman"/>
          <w:color w:val="auto"/>
          <w:spacing w:val="-6"/>
          <w:sz w:val="32"/>
          <w:highlight w:val="none"/>
          <w:shd w:val="clear" w:color="auto" w:fill="auto"/>
          <w:lang w:val="en-US" w:eastAsia="zh-CN"/>
        </w:rPr>
        <w:t xml:space="preserve">  </w:t>
      </w:r>
      <w:r>
        <w:rPr>
          <w:rFonts w:hint="eastAsia" w:cs="Times New Roman"/>
          <w:color w:val="auto"/>
          <w:sz w:val="32"/>
          <w:highlight w:val="none"/>
          <w:shd w:val="clear" w:color="auto" w:fill="auto"/>
          <w:lang w:val="en-US" w:eastAsia="zh-CN"/>
        </w:rPr>
        <w:t>学张乡</w:t>
      </w:r>
      <w:r>
        <w:rPr>
          <w:rFonts w:hint="default" w:ascii="Times New Roman" w:hAnsi="Times New Roman" w:cs="Times New Roman"/>
          <w:color w:val="auto"/>
          <w:sz w:val="32"/>
          <w:highlight w:val="none"/>
          <w:shd w:val="clear" w:color="auto" w:fill="auto"/>
          <w:lang w:val="en-US" w:eastAsia="zh-CN"/>
        </w:rPr>
        <w:t>人民政府</w:t>
      </w:r>
    </w:p>
    <w:p>
      <w:pPr>
        <w:wordWrap w:val="0"/>
        <w:jc w:val="right"/>
        <w:rPr>
          <w:rFonts w:hint="default"/>
          <w:color w:val="auto"/>
          <w:highlight w:val="none"/>
          <w:shd w:val="clear" w:color="auto" w:fill="auto"/>
          <w:lang w:val="en-US"/>
        </w:rPr>
      </w:pPr>
      <w:r>
        <w:rPr>
          <w:rFonts w:hint="default" w:ascii="Times New Roman" w:hAnsi="Times New Roman" w:cs="Times New Roman"/>
          <w:color w:val="auto"/>
          <w:sz w:val="32"/>
          <w:highlight w:val="none"/>
          <w:shd w:val="clear" w:color="auto" w:fill="auto"/>
          <w:lang w:val="en-US" w:eastAsia="zh-CN"/>
        </w:rPr>
        <w:t>20</w:t>
      </w:r>
      <w:r>
        <w:rPr>
          <w:rFonts w:hint="eastAsia" w:ascii="Times New Roman" w:hAnsi="Times New Roman" w:cs="Times New Roman"/>
          <w:color w:val="auto"/>
          <w:sz w:val="32"/>
          <w:highlight w:val="none"/>
          <w:shd w:val="clear" w:color="auto" w:fill="auto"/>
          <w:lang w:val="en-US" w:eastAsia="zh-CN"/>
        </w:rPr>
        <w:t>2</w:t>
      </w:r>
      <w:r>
        <w:rPr>
          <w:rFonts w:hint="eastAsia" w:cs="Times New Roman"/>
          <w:color w:val="auto"/>
          <w:sz w:val="32"/>
          <w:highlight w:val="none"/>
          <w:shd w:val="clear" w:color="auto" w:fill="auto"/>
          <w:lang w:val="en-US" w:eastAsia="zh-CN"/>
        </w:rPr>
        <w:t>3</w:t>
      </w:r>
      <w:r>
        <w:rPr>
          <w:rFonts w:hint="default" w:ascii="Times New Roman" w:hAnsi="Times New Roman" w:cs="Times New Roman"/>
          <w:color w:val="auto"/>
          <w:sz w:val="32"/>
          <w:highlight w:val="none"/>
          <w:shd w:val="clear" w:color="auto" w:fill="auto"/>
          <w:lang w:val="en-US" w:eastAsia="zh-CN"/>
        </w:rPr>
        <w:t>年</w:t>
      </w:r>
      <w:r>
        <w:rPr>
          <w:rFonts w:hint="eastAsia" w:cs="Times New Roman"/>
          <w:color w:val="auto"/>
          <w:sz w:val="32"/>
          <w:highlight w:val="none"/>
          <w:shd w:val="clear" w:color="auto" w:fill="auto"/>
          <w:lang w:val="en-US" w:eastAsia="zh-CN"/>
        </w:rPr>
        <w:t>1</w:t>
      </w:r>
      <w:r>
        <w:rPr>
          <w:rFonts w:hint="default" w:ascii="Times New Roman" w:hAnsi="Times New Roman" w:cs="Times New Roman"/>
          <w:color w:val="auto"/>
          <w:sz w:val="32"/>
          <w:highlight w:val="none"/>
          <w:shd w:val="clear" w:color="auto" w:fill="auto"/>
          <w:lang w:val="en-US" w:eastAsia="zh-CN"/>
        </w:rPr>
        <w:t>月</w:t>
      </w:r>
      <w:r>
        <w:rPr>
          <w:rFonts w:hint="eastAsia" w:cs="Times New Roman"/>
          <w:color w:val="auto"/>
          <w:sz w:val="32"/>
          <w:highlight w:val="none"/>
          <w:shd w:val="clear" w:color="auto" w:fill="auto"/>
          <w:lang w:val="en-US" w:eastAsia="zh-CN"/>
        </w:rPr>
        <w:t>1</w:t>
      </w:r>
      <w:r>
        <w:rPr>
          <w:rFonts w:hint="eastAsia" w:ascii="Times New Roman" w:hAnsi="Times New Roman" w:cs="Times New Roman"/>
          <w:color w:val="auto"/>
          <w:sz w:val="32"/>
          <w:highlight w:val="none"/>
          <w:shd w:val="clear" w:color="auto" w:fill="auto"/>
          <w:lang w:val="en-US" w:eastAsia="zh-CN"/>
        </w:rPr>
        <w:t>8</w:t>
      </w:r>
      <w:r>
        <w:rPr>
          <w:rFonts w:hint="default" w:ascii="Times New Roman" w:hAnsi="Times New Roman" w:cs="Times New Roman"/>
          <w:color w:val="auto"/>
          <w:sz w:val="32"/>
          <w:highlight w:val="none"/>
          <w:shd w:val="clear" w:color="auto" w:fill="auto"/>
          <w:lang w:val="en-US" w:eastAsia="zh-CN"/>
        </w:rPr>
        <w:t>日</w:t>
      </w:r>
      <w:r>
        <w:rPr>
          <w:rFonts w:hint="eastAsia" w:cs="Times New Roman"/>
          <w:color w:val="auto"/>
          <w:sz w:val="32"/>
          <w:highlight w:val="none"/>
          <w:shd w:val="clear" w:color="auto" w:fill="auto"/>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4EDAE"/>
    <w:multiLevelType w:val="singleLevel"/>
    <w:tmpl w:val="0B44EDAE"/>
    <w:lvl w:ilvl="0" w:tentative="0">
      <w:start w:val="2"/>
      <w:numFmt w:val="chineseCounting"/>
      <w:suff w:val="nothing"/>
      <w:lvlText w:val="%1、"/>
      <w:lvlJc w:val="left"/>
      <w:rPr>
        <w:rFonts w:hint="eastAsia"/>
      </w:rPr>
    </w:lvl>
  </w:abstractNum>
  <w:abstractNum w:abstractNumId="1">
    <w:nsid w:val="36CECA02"/>
    <w:multiLevelType w:val="singleLevel"/>
    <w:tmpl w:val="36CECA02"/>
    <w:lvl w:ilvl="0" w:tentative="0">
      <w:start w:val="1"/>
      <w:numFmt w:val="decimal"/>
      <w:lvlText w:val="%1."/>
      <w:lvlJc w:val="left"/>
      <w:pPr>
        <w:tabs>
          <w:tab w:val="left" w:pos="312"/>
        </w:tabs>
      </w:pPr>
    </w:lvl>
  </w:abstractNum>
  <w:abstractNum w:abstractNumId="2">
    <w:nsid w:val="51F83277"/>
    <w:multiLevelType w:val="singleLevel"/>
    <w:tmpl w:val="51F83277"/>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YzMyZDIwMTA0YmY2NGFhNWExNDhiYjAxYzdlZTgifQ=="/>
  </w:docVars>
  <w:rsids>
    <w:rsidRoot w:val="12C45144"/>
    <w:rsid w:val="028D7AA2"/>
    <w:rsid w:val="05F778BD"/>
    <w:rsid w:val="12C45144"/>
    <w:rsid w:val="1862125A"/>
    <w:rsid w:val="1AE06ED4"/>
    <w:rsid w:val="1C832856"/>
    <w:rsid w:val="1CE31DAA"/>
    <w:rsid w:val="209D7E53"/>
    <w:rsid w:val="253F6FA0"/>
    <w:rsid w:val="320B635A"/>
    <w:rsid w:val="33732D93"/>
    <w:rsid w:val="38C34D55"/>
    <w:rsid w:val="3A6602F2"/>
    <w:rsid w:val="3B3779A8"/>
    <w:rsid w:val="3F6E76AB"/>
    <w:rsid w:val="442216D2"/>
    <w:rsid w:val="468B1DDE"/>
    <w:rsid w:val="49F91321"/>
    <w:rsid w:val="4C4423C2"/>
    <w:rsid w:val="4C612B6D"/>
    <w:rsid w:val="50996A4C"/>
    <w:rsid w:val="58507E2C"/>
    <w:rsid w:val="5AE24500"/>
    <w:rsid w:val="5DB42C29"/>
    <w:rsid w:val="6BAF40BF"/>
    <w:rsid w:val="6BED03C5"/>
    <w:rsid w:val="7A10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jc w:val="both"/>
    </w:pPr>
    <w:rPr>
      <w:rFonts w:ascii="仿宋_GB2312" w:eastAsia="华文中宋" w:hAnsiTheme="minorHAnsi" w:cstheme="minorBidi"/>
      <w:kern w:val="2"/>
      <w:sz w:val="32"/>
      <w:szCs w:val="24"/>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qFormat/>
    <w:uiPriority w:val="0"/>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3574</Words>
  <Characters>3639</Characters>
  <Lines>0</Lines>
  <Paragraphs>0</Paragraphs>
  <TotalTime>5</TotalTime>
  <ScaleCrop>false</ScaleCrop>
  <LinksUpToDate>false</LinksUpToDate>
  <CharactersWithSpaces>3826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2022-02-10T01:53:00Z</dcterms:created>
  <dc:creator>Administrator</dc:creator>
  <cp:lastModifiedBy>Administrator</cp:lastModifiedBy>
  <dcterms:modified xsi:type="dcterms:W3CDTF">2023-01-30T07:53:56Z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5F2277A44A424854B9B85332C3926000</vt:lpwstr>
  </property>
</Properties>
</file>