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60" w:lineRule="exact"/>
      </w:pPr>
    </w:p>
    <w:p>
      <w:pPr>
        <w:framePr w:wrap="auto" w:vAnchor="margin" w:hAnchor="text" w:yAlign="inline"/>
        <w:spacing w:line="560" w:lineRule="exact"/>
        <w:rPr>
          <w:kern w:val="2"/>
        </w:rPr>
      </w:pPr>
    </w:p>
    <w:p>
      <w:pPr>
        <w:framePr w:wrap="auto" w:vAnchor="margin" w:hAnchor="text" w:yAlign="inline"/>
        <w:spacing w:line="560" w:lineRule="exact"/>
        <w:rPr>
          <w:outline w:val="0"/>
          <w:color w:val="000000"/>
          <w:u w:color="000000"/>
        </w:rPr>
      </w:pPr>
    </w:p>
    <w:p>
      <w:pPr>
        <w:framePr w:wrap="auto" w:vAnchor="margin" w:hAnchor="text" w:yAlign="inline"/>
        <w:spacing w:line="560" w:lineRule="exact"/>
        <w:jc w:val="center"/>
        <w:rPr>
          <w:outline w:val="0"/>
          <w:color w:val="000000"/>
          <w:spacing w:val="0"/>
          <w:sz w:val="44"/>
          <w:szCs w:val="44"/>
          <w:u w:color="000000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outline w:val="0"/>
          <w:color w:val="000000"/>
          <w:spacing w:val="0"/>
          <w:sz w:val="44"/>
          <w:szCs w:val="44"/>
          <w:u w:color="000000"/>
          <w:rtl w:val="0"/>
          <w:lang w:val="zh-TW" w:eastAsia="zh-TW"/>
        </w:rPr>
        <w:t>西陌镇人民政府</w:t>
      </w:r>
    </w:p>
    <w:p>
      <w:pPr>
        <w:pStyle w:val="2"/>
        <w:framePr w:wrap="auto" w:vAnchor="margin" w:hAnchor="text" w:yAlign="inline"/>
        <w:tabs>
          <w:tab w:val="right" w:pos="8280"/>
          <w:tab w:val="clear" w:pos="8306"/>
        </w:tabs>
        <w:spacing w:line="560" w:lineRule="exact"/>
        <w:jc w:val="center"/>
        <w:rPr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outline w:val="0"/>
          <w:color w:val="000000"/>
          <w:spacing w:val="0"/>
          <w:sz w:val="44"/>
          <w:szCs w:val="44"/>
          <w:u w:color="000000"/>
          <w:rtl w:val="0"/>
          <w:lang w:val="en-US"/>
        </w:rPr>
        <w:t>202</w:t>
      </w:r>
      <w:r>
        <w:rPr>
          <w:rFonts w:ascii="方正小标宋简体" w:hAnsi="方正小标宋简体" w:eastAsia="方正小标宋简体" w:cs="方正小标宋简体"/>
          <w:outline w:val="0"/>
          <w:color w:val="000000"/>
          <w:spacing w:val="0"/>
          <w:sz w:val="44"/>
          <w:szCs w:val="44"/>
          <w:u w:color="000000"/>
          <w:rtl w:val="0"/>
          <w:lang w:val="zh-CN" w:eastAsia="zh-CN"/>
        </w:rPr>
        <w:t>2</w:t>
      </w:r>
      <w:r>
        <w:rPr>
          <w:rFonts w:ascii="方正小标宋简体" w:hAnsi="方正小标宋简体" w:eastAsia="方正小标宋简体" w:cs="方正小标宋简体"/>
          <w:outline w:val="0"/>
          <w:color w:val="000000"/>
          <w:spacing w:val="0"/>
          <w:sz w:val="44"/>
          <w:szCs w:val="44"/>
          <w:u w:color="000000"/>
          <w:rtl w:val="0"/>
          <w:lang w:val="zh-TW" w:eastAsia="zh-TW"/>
        </w:rPr>
        <w:t>年政府信息公开工作年度报告</w:t>
      </w:r>
    </w:p>
    <w:p>
      <w:pPr>
        <w:framePr w:wrap="auto" w:vAnchor="margin" w:hAnchor="text" w:yAlign="inline"/>
        <w:spacing w:line="560" w:lineRule="exact"/>
        <w:rPr>
          <w:outline w:val="0"/>
          <w:color w:val="000000"/>
          <w:u w:color="000000"/>
        </w:rPr>
      </w:pP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outline w:val="0"/>
          <w:color w:val="000000"/>
          <w:kern w:val="0"/>
          <w:u w:color="000000"/>
        </w:rPr>
      </w:pP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202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CN" w:eastAsia="zh-CN"/>
        </w:rPr>
        <w:t>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年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1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月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1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日至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202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CN" w:eastAsia="zh-CN"/>
        </w:rPr>
        <w:t>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年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12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月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31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日。本报告的电子版可在芮城县人民政府门户网站（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www.rcx.gov.cn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）下载。</w:t>
      </w:r>
    </w:p>
    <w:p>
      <w:pPr>
        <w:pStyle w:val="2"/>
        <w:framePr w:wrap="auto" w:vAnchor="margin" w:hAnchor="text" w:yAlign="inline"/>
        <w:tabs>
          <w:tab w:val="right" w:pos="8280"/>
          <w:tab w:val="clear" w:pos="8306"/>
        </w:tabs>
        <w:spacing w:line="560" w:lineRule="exact"/>
        <w:ind w:firstLine="640"/>
        <w:rPr>
          <w:outline w:val="0"/>
          <w:color w:val="000000"/>
          <w:sz w:val="32"/>
          <w:szCs w:val="32"/>
          <w:u w:color="000000"/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黑体" w:hAnsi="黑体" w:eastAsia="黑体" w:cs="黑体"/>
          <w:outline w:val="0"/>
          <w:color w:val="000000"/>
          <w:sz w:val="32"/>
          <w:szCs w:val="32"/>
          <w:u w:color="000000"/>
          <w:rtl w:val="0"/>
          <w:lang w:val="zh-TW" w:eastAsia="zh-TW"/>
        </w:rPr>
        <w:t>一、总体情况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outline w:val="0"/>
          <w:color w:val="000000"/>
          <w:kern w:val="0"/>
          <w:u w:color="000000"/>
        </w:rPr>
      </w:pP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（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1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）主动公开情况。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202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CN" w:eastAsia="zh-CN"/>
        </w:rPr>
        <w:t>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年西陌镇政务信息公开工作在政府办的正确领导下，认真围绕本年度工作内容和任务目标，按照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“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应公开、尽公开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”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的要求，扎实有序开展西陌镇政务信息公开工作。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202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CN" w:eastAsia="zh-CN"/>
        </w:rPr>
        <w:t>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年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1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月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1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日至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202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CN" w:eastAsia="zh-CN"/>
        </w:rPr>
        <w:t>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年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12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月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31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日，西陌镇主要通过县人民政府网公示、公告等栏目，以网上公开发布的形式，共主动发布政府信息</w:t>
      </w:r>
      <w:r>
        <w:rPr>
          <w:rFonts w:hint="eastAsia"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 w:eastAsia="zh-CN"/>
        </w:rPr>
        <w:t>4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条，其中工作动态</w:t>
      </w:r>
      <w:r>
        <w:rPr>
          <w:rFonts w:hint="eastAsia"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 w:eastAsia="zh-CN"/>
        </w:rPr>
        <w:t>3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条，政策解读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1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条；还通过镇党务政务公开宣传栏张贴等方式予以公开，便于群众浏览或办事需要。（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）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 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依申请公开。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202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CN" w:eastAsia="zh-CN"/>
        </w:rPr>
        <w:t>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年，西陌镇未收到依申请公开件。（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3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）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 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政府信息管理。西陌镇认真贯彻执行《中华人民共和国政府信息公开条例》、县委、县政府有关要求，始终将政务信息公开作为一项重要工作任务，成立领导小组，安排专人负责日常公开工作，把责任工作落实到细处，明确了各部门的工作职责以及所需要更新的类别，以推进政府信息公开工作。（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4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）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 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政府信息公开平台建设。拓宽公开渠道，完善政务公开形式多样化，西陌镇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202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CN" w:eastAsia="zh-CN"/>
        </w:rPr>
        <w:t>2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年建设线下政务公开专栏，每周及时公开民生信息。用好政务信息公开网站平台及时按照要求公开相关事项。（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5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）强化监督，确保政务工作落实落细。西陌镇充分加强内部监督和外部监督有机结合，将政务公开作为日常工作考核内容，拓宽群众监督举报渠道，充分发挥群众监督力量，扎实有序推动西陌镇政务信息公开工作。</w:t>
      </w:r>
    </w:p>
    <w:p>
      <w:pPr>
        <w:pStyle w:val="2"/>
        <w:framePr w:wrap="auto" w:vAnchor="margin" w:hAnchor="text" w:yAlign="inline"/>
        <w:tabs>
          <w:tab w:val="right" w:pos="8280"/>
          <w:tab w:val="clear" w:pos="8306"/>
        </w:tabs>
        <w:spacing w:after="12" w:line="560" w:lineRule="exact"/>
        <w:ind w:firstLine="640"/>
        <w:rPr>
          <w:outline w:val="0"/>
          <w:color w:val="000000"/>
          <w:sz w:val="32"/>
          <w:szCs w:val="32"/>
          <w:u w:color="000000"/>
          <w:lang w:val="zh-TW" w:eastAsia="zh-TW"/>
        </w:rPr>
      </w:pPr>
      <w:r>
        <w:rPr>
          <w:rFonts w:ascii="黑体" w:hAnsi="黑体" w:eastAsia="黑体" w:cs="黑体"/>
          <w:outline w:val="0"/>
          <w:color w:val="000000"/>
          <w:sz w:val="32"/>
          <w:szCs w:val="32"/>
          <w:u w:color="000000"/>
          <w:rtl w:val="0"/>
          <w:lang w:val="zh-TW" w:eastAsia="zh-TW"/>
        </w:rPr>
        <w:t>二、主动公开政府信息情况</w:t>
      </w:r>
    </w:p>
    <w:tbl>
      <w:tblPr>
        <w:tblStyle w:val="3"/>
        <w:tblW w:w="920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33"/>
        <w:gridCol w:w="1555"/>
        <w:gridCol w:w="1837"/>
        <w:gridCol w:w="238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  <w:jc w:val="center"/>
        </w:trPr>
        <w:tc>
          <w:tcPr>
            <w:tcW w:w="92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第二十条第（一）项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5" w:hRule="atLeast"/>
          <w:jc w:val="center"/>
        </w:trPr>
        <w:tc>
          <w:tcPr>
            <w:tcW w:w="3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信息内容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本年制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shd w:val="clear" w:color="auto" w:fill="auto"/>
                <w:lang w:val="en-US"/>
              </w:rPr>
              <w:br w:type="textWrapping"/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发件数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本年废止</w:t>
            </w:r>
          </w:p>
          <w:p>
            <w:pPr>
              <w:framePr w:wrap="auto" w:vAnchor="margin" w:hAnchor="text" w:yAlign="inline"/>
              <w:widowControl/>
              <w:bidi w:val="0"/>
              <w:spacing w:line="5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件数</w:t>
            </w:r>
          </w:p>
        </w:tc>
        <w:tc>
          <w:tcPr>
            <w:tcW w:w="2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现行有效件数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  <w:jc w:val="center"/>
        </w:trPr>
        <w:tc>
          <w:tcPr>
            <w:tcW w:w="3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规章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2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6" w:hRule="atLeast"/>
          <w:jc w:val="center"/>
        </w:trPr>
        <w:tc>
          <w:tcPr>
            <w:tcW w:w="3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行政规范性文件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1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2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92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第二十条第（五）项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9" w:hRule="atLeast"/>
          <w:jc w:val="center"/>
        </w:trPr>
        <w:tc>
          <w:tcPr>
            <w:tcW w:w="3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本年处理决定数量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3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行政许可</w:t>
            </w:r>
          </w:p>
        </w:tc>
        <w:tc>
          <w:tcPr>
            <w:tcW w:w="5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92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第二十条第（六）项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atLeast"/>
          <w:jc w:val="center"/>
        </w:trPr>
        <w:tc>
          <w:tcPr>
            <w:tcW w:w="3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本年处理决定数量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atLeast"/>
          <w:jc w:val="center"/>
        </w:trPr>
        <w:tc>
          <w:tcPr>
            <w:tcW w:w="3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行政处罚</w:t>
            </w:r>
          </w:p>
        </w:tc>
        <w:tc>
          <w:tcPr>
            <w:tcW w:w="5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rFonts w:hint="eastAsia" w:eastAsia="Arial Unicode MS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shd w:val="clear" w:color="auto" w:fill="auto"/>
                <w:rtl w:val="0"/>
                <w:lang w:val="en-US" w:eastAsia="zh-CN"/>
              </w:rPr>
              <w:t>7</w:t>
            </w: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atLeast"/>
          <w:jc w:val="center"/>
        </w:trPr>
        <w:tc>
          <w:tcPr>
            <w:tcW w:w="3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行政强制</w:t>
            </w:r>
          </w:p>
        </w:tc>
        <w:tc>
          <w:tcPr>
            <w:tcW w:w="5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  <w:jc w:val="center"/>
        </w:trPr>
        <w:tc>
          <w:tcPr>
            <w:tcW w:w="92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第二十条第（八）项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3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本年收费金额（单位：万元）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atLeast"/>
          <w:jc w:val="center"/>
        </w:trPr>
        <w:tc>
          <w:tcPr>
            <w:tcW w:w="3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行政事业性收费</w:t>
            </w:r>
          </w:p>
        </w:tc>
        <w:tc>
          <w:tcPr>
            <w:tcW w:w="5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</w:tr>
    </w:tbl>
    <w:p>
      <w:pPr>
        <w:pStyle w:val="2"/>
        <w:framePr w:wrap="auto" w:vAnchor="margin" w:hAnchor="text" w:yAlign="inline"/>
        <w:tabs>
          <w:tab w:val="right" w:pos="8280"/>
          <w:tab w:val="clear" w:pos="8306"/>
        </w:tabs>
        <w:spacing w:after="12"/>
        <w:jc w:val="center"/>
        <w:rPr>
          <w:outline w:val="0"/>
          <w:color w:val="000000"/>
          <w:sz w:val="32"/>
          <w:szCs w:val="32"/>
          <w:u w:color="000000"/>
          <w:lang w:val="zh-TW" w:eastAsia="zh-TW"/>
        </w:rPr>
      </w:pPr>
    </w:p>
    <w:p>
      <w:pPr>
        <w:framePr w:wrap="auto" w:vAnchor="margin" w:hAnchor="text" w:yAlign="inline"/>
        <w:widowControl/>
        <w:spacing w:after="240" w:line="560" w:lineRule="exact"/>
        <w:ind w:firstLine="480"/>
        <w:rPr>
          <w:rFonts w:ascii="黑体" w:hAnsi="黑体" w:eastAsia="黑体" w:cs="黑体"/>
          <w:outline w:val="0"/>
          <w:color w:val="000000"/>
          <w:kern w:val="0"/>
          <w:u w:color="000000"/>
          <w:lang w:val="zh-TW" w:eastAsia="zh-TW"/>
        </w:rPr>
      </w:pPr>
      <w:r>
        <w:rPr>
          <w:rFonts w:ascii="黑体" w:hAnsi="黑体" w:eastAsia="黑体" w:cs="黑体"/>
          <w:outline w:val="0"/>
          <w:color w:val="000000"/>
          <w:kern w:val="0"/>
          <w:u w:color="000000"/>
          <w:rtl w:val="0"/>
          <w:lang w:val="zh-TW" w:eastAsia="zh-TW"/>
        </w:rPr>
        <w:t>三、收到和处理政府信息公开申请情况</w:t>
      </w:r>
    </w:p>
    <w:tbl>
      <w:tblPr>
        <w:tblStyle w:val="3"/>
        <w:tblW w:w="915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3"/>
        <w:gridCol w:w="960"/>
        <w:gridCol w:w="2505"/>
        <w:gridCol w:w="542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497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（本列数据的勾稽关系为：第一项加第二项之和，等于第三项加第四项之和）</w:t>
            </w:r>
          </w:p>
        </w:tc>
        <w:tc>
          <w:tcPr>
            <w:tcW w:w="41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申请人情况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497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5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自然人</w:t>
            </w:r>
          </w:p>
        </w:tc>
        <w:tc>
          <w:tcPr>
            <w:tcW w:w="30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总计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5" w:hRule="atLeast"/>
          <w:jc w:val="center"/>
        </w:trPr>
        <w:tc>
          <w:tcPr>
            <w:tcW w:w="497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5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商业企业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科研机构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社会公益组织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法律服务机构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49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一、本年新收政府信息公开申请数量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5" w:hRule="atLeast"/>
          <w:jc w:val="center"/>
        </w:trPr>
        <w:tc>
          <w:tcPr>
            <w:tcW w:w="49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二、上年结转政府信息公开申请数量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  <w:jc w:val="center"/>
        </w:trPr>
        <w:tc>
          <w:tcPr>
            <w:tcW w:w="1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bidi w:val="0"/>
              <w:spacing w:line="560" w:lineRule="exact"/>
              <w:ind w:left="0" w:right="0" w:firstLine="0"/>
              <w:jc w:val="center"/>
              <w:rPr>
                <w:kern w:val="0"/>
                <w:sz w:val="28"/>
                <w:szCs w:val="28"/>
                <w:shd w:val="clear" w:color="auto" w:fill="auto"/>
                <w:rtl w:val="0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三、本年度</w:t>
            </w: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办理结果</w:t>
            </w: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pStyle w:val="2"/>
              <w:framePr w:wrap="auto" w:vAnchor="margin" w:hAnchor="text" w:yAlign="inline"/>
              <w:tabs>
                <w:tab w:val="right" w:pos="8280"/>
                <w:tab w:val="clear" w:pos="8306"/>
              </w:tabs>
              <w:spacing w:line="560" w:lineRule="exact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widowControl/>
              <w:bidi w:val="0"/>
              <w:spacing w:line="5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三、本年度</w:t>
            </w: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办理结果</w:t>
            </w:r>
          </w:p>
        </w:tc>
        <w:tc>
          <w:tcPr>
            <w:tcW w:w="34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（一）予以公开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4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（二）部分公开（区分处理的，只计这一情形，不计其他情形）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（三）不予公开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．属于国家秘密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．其他法律行政法规禁止公开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．危及</w:t>
            </w: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“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三安全一稳定</w:t>
            </w: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”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4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．保护第三方合法权益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．属于三类内部事务信息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6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．属于四类过程性信息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7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．属于行政执法案卷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8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．属于行政查询事项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（四）无法提供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．本机关不掌握相关政府信息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．没有现成信息需要另行制作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．补正后申请内容仍不明确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（五）不予处理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．信访举报投诉类申请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．重复申请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．要求提供公开出版物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4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．无正当理由大量反复申请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．要求行政机关确认或重新出具已获取信息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560" w:lineRule="exact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（六）其他处理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1.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申请人无正当理由逾期不补正、行政机关不再处理其政府信息公开申请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2.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申请人逾期未按收费通知要求缴纳费用、行政机关不再处理其政府信息公开申请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2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3.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其他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4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（七）总计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49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四、结转下年度继续办理</w:t>
            </w:r>
          </w:p>
        </w:tc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 0</w:t>
            </w:r>
          </w:p>
        </w:tc>
      </w:tr>
    </w:tbl>
    <w:p>
      <w:pPr>
        <w:framePr w:wrap="auto" w:vAnchor="margin" w:hAnchor="text" w:yAlign="inline"/>
        <w:spacing w:after="240"/>
        <w:jc w:val="center"/>
        <w:rPr>
          <w:rFonts w:ascii="黑体" w:hAnsi="黑体" w:eastAsia="黑体" w:cs="黑体"/>
          <w:outline w:val="0"/>
          <w:color w:val="000000"/>
          <w:kern w:val="0"/>
          <w:u w:color="000000"/>
          <w:lang w:val="zh-TW" w:eastAsia="zh-TW"/>
        </w:rPr>
      </w:pPr>
    </w:p>
    <w:p>
      <w:pPr>
        <w:framePr w:wrap="auto" w:vAnchor="margin" w:hAnchor="text" w:yAlign="inline"/>
        <w:widowControl/>
        <w:spacing w:line="560" w:lineRule="exact"/>
        <w:ind w:firstLine="480"/>
        <w:rPr>
          <w:rFonts w:ascii="黑体" w:hAnsi="黑体" w:eastAsia="黑体" w:cs="黑体"/>
          <w:outline w:val="0"/>
          <w:color w:val="000000"/>
          <w:kern w:val="0"/>
          <w:u w:color="000000"/>
          <w:lang w:val="zh-TW" w:eastAsia="zh-TW"/>
        </w:rPr>
      </w:pPr>
      <w:r>
        <w:rPr>
          <w:rFonts w:ascii="黑体" w:hAnsi="黑体" w:eastAsia="黑体" w:cs="黑体"/>
          <w:outline w:val="0"/>
          <w:color w:val="000000"/>
          <w:kern w:val="0"/>
          <w:u w:color="000000"/>
          <w:rtl w:val="0"/>
          <w:lang w:val="zh-TW" w:eastAsia="zh-TW"/>
        </w:rPr>
        <w:t>四、政府信息公开行政复议、行政诉讼情况</w:t>
      </w:r>
    </w:p>
    <w:tbl>
      <w:tblPr>
        <w:tblStyle w:val="3"/>
        <w:tblW w:w="8564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286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行政诉讼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atLeast"/>
          <w:jc w:val="center"/>
        </w:trPr>
        <w:tc>
          <w:tcPr>
            <w:tcW w:w="5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复议后起诉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3" w:hRule="atLeast"/>
          <w:jc w:val="center"/>
        </w:trPr>
        <w:tc>
          <w:tcPr>
            <w:tcW w:w="5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5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5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结果维持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结果纠正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其他结果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尚未审结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  <w:rPr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总</w:t>
            </w:r>
          </w:p>
          <w:p>
            <w:pPr>
              <w:framePr w:wrap="auto" w:vAnchor="margin" w:hAnchor="text" w:yAlign="inline"/>
              <w:widowControl/>
              <w:bidi w:val="0"/>
              <w:spacing w:line="5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计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结果维持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结果纠正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其他结果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尚未审结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总计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atLeast"/>
          <w:jc w:val="center"/>
        </w:trPr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rFonts w:ascii="Times New Roman" w:hAnsi="Times New Roman" w:eastAsia="仿宋_GB2312" w:cs="仿宋_GB2312"/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560" w:lineRule="exact"/>
              <w:jc w:val="center"/>
            </w:pPr>
            <w:r>
              <w:rPr>
                <w:kern w:val="0"/>
                <w:sz w:val="28"/>
                <w:szCs w:val="28"/>
                <w:shd w:val="clear" w:color="auto" w:fill="auto"/>
                <w:rtl w:val="0"/>
                <w:lang w:val="en-US"/>
              </w:rPr>
              <w:t>0</w:t>
            </w:r>
          </w:p>
        </w:tc>
      </w:tr>
    </w:tbl>
    <w:p>
      <w:pPr>
        <w:framePr w:wrap="auto" w:vAnchor="margin" w:hAnchor="text" w:yAlign="inline"/>
        <w:jc w:val="center"/>
        <w:rPr>
          <w:rFonts w:ascii="黑体" w:hAnsi="黑体" w:eastAsia="黑体" w:cs="黑体"/>
          <w:outline w:val="0"/>
          <w:color w:val="000000"/>
          <w:kern w:val="0"/>
          <w:u w:color="000000"/>
          <w:lang w:val="zh-TW" w:eastAsia="zh-TW"/>
        </w:rPr>
      </w:pPr>
    </w:p>
    <w:p>
      <w:pPr>
        <w:pStyle w:val="2"/>
        <w:framePr w:wrap="auto" w:vAnchor="margin" w:hAnchor="text" w:yAlign="inline"/>
        <w:tabs>
          <w:tab w:val="right" w:pos="8280"/>
          <w:tab w:val="clear" w:pos="8306"/>
        </w:tabs>
        <w:spacing w:line="560" w:lineRule="exact"/>
        <w:ind w:firstLine="640"/>
        <w:rPr>
          <w:outline w:val="0"/>
          <w:color w:val="000000"/>
          <w:sz w:val="32"/>
          <w:szCs w:val="32"/>
          <w:u w:color="000000"/>
          <w:lang w:val="zh-TW" w:eastAsia="zh-TW"/>
        </w:rPr>
      </w:pPr>
      <w:r>
        <w:rPr>
          <w:rFonts w:ascii="黑体" w:hAnsi="黑体" w:eastAsia="黑体" w:cs="黑体"/>
          <w:outline w:val="0"/>
          <w:color w:val="000000"/>
          <w:sz w:val="32"/>
          <w:szCs w:val="32"/>
          <w:u w:color="000000"/>
          <w:rtl w:val="0"/>
          <w:lang w:val="zh-TW" w:eastAsia="zh-TW"/>
        </w:rPr>
        <w:t>五、存在的主要问题及改进情况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outline w:val="0"/>
          <w:color w:val="000000"/>
          <w:kern w:val="0"/>
          <w:u w:color="000000"/>
        </w:rPr>
      </w:pP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>1.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工作中存在的问题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lang w:val="zh-TW" w:eastAsia="zh-TW"/>
        </w:rPr>
      </w:pP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一是对政务信息公开工作力度不够，满足于机械完成工作内容，缺乏政务公开工作创新，不能满足群众了解政策需求；二是由于基层工作繁忙，部分政务信息公布不够及时，存在有群众了解在先、公开滞后的现象；三是发布的信息内容还不够丰富，类别单一。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outline w:val="0"/>
          <w:color w:val="000000"/>
          <w:kern w:val="0"/>
          <w:u w:color="000000"/>
        </w:rPr>
      </w:pP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en-US"/>
        </w:rPr>
        <w:t xml:space="preserve">2. </w:t>
      </w: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改进举措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lang w:val="zh-TW" w:eastAsia="zh-TW"/>
        </w:rPr>
      </w:pP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进一步加强政务公开工作力度，防止工作松懈，确保工作有序推进。继续在县政务公开主管部门的指导下，做好基础性工作，创新工作机制，不断提高政务公开能力，确保西陌镇政务公开工作有序推进。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lang w:val="zh-TW" w:eastAsia="zh-TW"/>
        </w:rPr>
      </w:pP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进一步提升信息公开效率，加强对政务信息公开的管理力度，力争第一时间公开政务信息，满足群众需求。</w:t>
      </w:r>
    </w:p>
    <w:p>
      <w:pPr>
        <w:framePr w:wrap="auto" w:vAnchor="margin" w:hAnchor="text" w:yAlign="inline"/>
        <w:widowControl/>
        <w:spacing w:line="560" w:lineRule="exact"/>
        <w:ind w:firstLine="640"/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lang w:val="zh-TW" w:eastAsia="zh-TW"/>
        </w:rPr>
      </w:pPr>
      <w:r>
        <w:rPr>
          <w:rFonts w:ascii="仿宋_GB2312" w:hAnsi="仿宋_GB2312" w:eastAsia="仿宋_GB2312" w:cs="仿宋_GB2312"/>
          <w:outline w:val="0"/>
          <w:color w:val="000000"/>
          <w:kern w:val="0"/>
          <w:u w:color="000000"/>
          <w:rtl w:val="0"/>
          <w:lang w:val="zh-TW" w:eastAsia="zh-TW"/>
        </w:rPr>
        <w:t>进一步要求各站室紧紧围绕本站室工作内容，公开贴近民生实际、民生需求的内容信息，拓宽公开内容范围，加深与群众的线上线下沟通，推进我镇政务信息公开高质量发展。</w:t>
      </w:r>
    </w:p>
    <w:p>
      <w:pPr>
        <w:pStyle w:val="2"/>
        <w:framePr w:wrap="auto" w:vAnchor="margin" w:hAnchor="text" w:yAlign="inline"/>
        <w:tabs>
          <w:tab w:val="right" w:pos="8280"/>
          <w:tab w:val="clear" w:pos="8306"/>
        </w:tabs>
        <w:spacing w:line="560" w:lineRule="exact"/>
        <w:ind w:firstLine="640"/>
        <w:rPr>
          <w:rFonts w:ascii="黑体" w:hAnsi="黑体" w:eastAsia="黑体" w:cs="黑体"/>
          <w:outline w:val="0"/>
          <w:color w:val="000000"/>
          <w:sz w:val="32"/>
          <w:szCs w:val="32"/>
          <w:u w:color="000000"/>
          <w:lang w:val="zh-TW" w:eastAsia="zh-TW"/>
        </w:rPr>
      </w:pPr>
      <w:r>
        <w:rPr>
          <w:rFonts w:ascii="黑体" w:hAnsi="黑体" w:eastAsia="黑体" w:cs="黑体"/>
          <w:outline w:val="0"/>
          <w:color w:val="000000"/>
          <w:sz w:val="32"/>
          <w:szCs w:val="32"/>
          <w:u w:color="000000"/>
          <w:rtl w:val="0"/>
          <w:lang w:val="zh-TW" w:eastAsia="zh-TW"/>
        </w:rPr>
        <w:t>六、其他需要报告的事项</w:t>
      </w:r>
    </w:p>
    <w:p>
      <w:pPr>
        <w:pStyle w:val="2"/>
        <w:framePr w:wrap="auto" w:vAnchor="margin" w:hAnchor="text" w:yAlign="inline"/>
        <w:tabs>
          <w:tab w:val="right" w:pos="8280"/>
          <w:tab w:val="clear" w:pos="8306"/>
        </w:tabs>
        <w:spacing w:line="560" w:lineRule="exact"/>
        <w:ind w:firstLine="640"/>
        <w:rPr>
          <w:outline w:val="0"/>
          <w:color w:val="000000"/>
          <w:sz w:val="32"/>
          <w:szCs w:val="32"/>
          <w:u w:color="000000"/>
          <w:lang w:val="zh-TW" w:eastAsia="zh-TW"/>
        </w:rPr>
      </w:pPr>
      <w:r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rtl w:val="0"/>
          <w:lang w:val="zh-TW" w:eastAsia="zh-TW"/>
        </w:rPr>
        <w:t>无</w:t>
      </w:r>
    </w:p>
    <w:p>
      <w:pPr>
        <w:pStyle w:val="2"/>
        <w:framePr w:wrap="auto" w:vAnchor="margin" w:hAnchor="text" w:yAlign="inline"/>
        <w:tabs>
          <w:tab w:val="right" w:pos="8280"/>
          <w:tab w:val="clear" w:pos="8306"/>
        </w:tabs>
        <w:spacing w:line="560" w:lineRule="exact"/>
        <w:ind w:firstLine="640"/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lang w:val="zh-TW" w:eastAsia="zh-TW"/>
        </w:rPr>
      </w:pPr>
    </w:p>
    <w:p>
      <w:pPr>
        <w:pStyle w:val="2"/>
        <w:framePr w:wrap="auto" w:vAnchor="margin" w:hAnchor="text" w:yAlign="inline"/>
        <w:tabs>
          <w:tab w:val="right" w:pos="8280"/>
          <w:tab w:val="clear" w:pos="8306"/>
        </w:tabs>
        <w:spacing w:line="560" w:lineRule="exact"/>
        <w:ind w:firstLine="640"/>
        <w:rPr>
          <w:rFonts w:ascii="仿宋_GB2312" w:hAnsi="仿宋_GB2312" w:eastAsia="仿宋_GB2312" w:cs="仿宋_GB2312"/>
          <w:outline w:val="0"/>
          <w:color w:val="000000"/>
          <w:sz w:val="32"/>
          <w:szCs w:val="32"/>
          <w:u w:color="000000"/>
          <w:lang w:val="zh-TW" w:eastAsia="zh-TW"/>
        </w:rPr>
      </w:pPr>
    </w:p>
    <w:p>
      <w:pPr>
        <w:framePr w:wrap="auto" w:vAnchor="margin" w:hAnchor="text" w:yAlign="inline"/>
        <w:spacing w:line="560" w:lineRule="exact"/>
        <w:ind w:firstLine="640"/>
        <w:rPr>
          <w:outline w:val="0"/>
          <w:color w:val="000000"/>
          <w:u w:color="000000"/>
        </w:rPr>
      </w:pPr>
      <w:r>
        <w:rPr>
          <w:outline w:val="0"/>
          <w:color w:val="000000"/>
          <w:u w:color="000000"/>
          <w:rtl w:val="0"/>
          <w:lang w:val="en-US"/>
        </w:rPr>
        <w:t xml:space="preserve">                            </w:t>
      </w:r>
      <w:r>
        <w:rPr>
          <w:outline w:val="0"/>
          <w:color w:val="000000"/>
          <w:spacing w:val="0"/>
          <w:u w:color="000000"/>
          <w:rtl w:val="0"/>
          <w:lang w:val="en-US"/>
        </w:rPr>
        <w:t xml:space="preserve">  </w:t>
      </w:r>
      <w:r>
        <w:rPr>
          <w:rFonts w:ascii="仿宋_GB2312" w:hAnsi="仿宋_GB2312" w:eastAsia="仿宋_GB2312" w:cs="仿宋_GB2312"/>
          <w:outline w:val="0"/>
          <w:color w:val="000000"/>
          <w:u w:color="000000"/>
          <w:rtl w:val="0"/>
          <w:lang w:val="zh-TW" w:eastAsia="zh-TW"/>
        </w:rPr>
        <w:t>西陌镇人民政府</w:t>
      </w:r>
    </w:p>
    <w:p>
      <w:pPr>
        <w:framePr w:wrap="auto" w:vAnchor="margin" w:hAnchor="text" w:yAlign="inline"/>
        <w:spacing w:line="560" w:lineRule="exact"/>
        <w:jc w:val="center"/>
      </w:pPr>
      <w:r>
        <w:rPr>
          <w:outline w:val="0"/>
          <w:color w:val="000000"/>
          <w:u w:color="000000"/>
          <w:rtl w:val="0"/>
          <w:lang w:val="en-US"/>
        </w:rPr>
        <w:t xml:space="preserve">                              202</w:t>
      </w:r>
      <w:r>
        <w:rPr>
          <w:outline w:val="0"/>
          <w:color w:val="000000"/>
          <w:u w:color="000000"/>
          <w:rtl w:val="0"/>
          <w:lang w:val="zh-CN" w:eastAsia="zh-CN"/>
        </w:rPr>
        <w:t>3</w:t>
      </w:r>
      <w:r>
        <w:rPr>
          <w:rFonts w:ascii="仿宋_GB2312" w:hAnsi="仿宋_GB2312" w:eastAsia="仿宋_GB2312" w:cs="仿宋_GB2312"/>
          <w:outline w:val="0"/>
          <w:color w:val="000000"/>
          <w:u w:color="000000"/>
          <w:rtl w:val="0"/>
          <w:lang w:val="zh-TW" w:eastAsia="zh-TW"/>
        </w:rPr>
        <w:t>年</w:t>
      </w:r>
      <w:r>
        <w:rPr>
          <w:outline w:val="0"/>
          <w:color w:val="000000"/>
          <w:u w:color="000000"/>
          <w:rtl w:val="0"/>
          <w:lang w:val="en-US"/>
        </w:rPr>
        <w:t>1</w:t>
      </w:r>
      <w:r>
        <w:rPr>
          <w:rFonts w:ascii="仿宋_GB2312" w:hAnsi="仿宋_GB2312" w:eastAsia="仿宋_GB2312" w:cs="仿宋_GB2312"/>
          <w:outline w:val="0"/>
          <w:color w:val="000000"/>
          <w:u w:color="000000"/>
          <w:rtl w:val="0"/>
          <w:lang w:val="zh-TW" w:eastAsia="zh-TW"/>
        </w:rPr>
        <w:t>月</w:t>
      </w:r>
      <w:r>
        <w:rPr>
          <w:outline w:val="0"/>
          <w:color w:val="000000"/>
          <w:u w:color="000000"/>
          <w:rtl w:val="0"/>
          <w:lang w:val="en-US"/>
        </w:rPr>
        <w:t>17</w:t>
      </w:r>
      <w:r>
        <w:rPr>
          <w:rFonts w:ascii="仿宋_GB2312" w:hAnsi="仿宋_GB2312" w:eastAsia="仿宋_GB2312" w:cs="仿宋_GB2312"/>
          <w:outline w:val="0"/>
          <w:color w:val="000000"/>
          <w:u w:color="000000"/>
          <w:rtl w:val="0"/>
          <w:lang w:val="zh-TW" w:eastAsia="zh-TW"/>
        </w:rPr>
        <w:t>日</w:t>
      </w: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OTEwYzMyZDIwMTA0YmY2NGFhNWExNDhiYjAxYzdlZTgifQ=="/>
  </w:docVars>
  <w:rsids>
    <w:rsidRoot w:val="00000000"/>
    <w:rsid w:val="073757B8"/>
    <w:rsid w:val="3245083E"/>
    <w:rsid w:val="46C51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character" w:styleId="5">
    <w:name w:val="Hyperlink"/>
    <w:uiPriority w:val="0"/>
    <w:rPr>
      <w:u w:val="single"/>
    </w:rPr>
  </w:style>
  <w:style w:type="table" w:customStyle="1" w:styleId="6">
    <w:name w:val="Table Normal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1984</Words>
  <Characters>2034</Characters>
  <TotalTime>3</TotalTime>
  <ScaleCrop>false</ScaleCrop>
  <LinksUpToDate>false</LinksUpToDate>
  <CharactersWithSpaces>2251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2023-01-20T11:04:00Z</dcterms:created>
  <dc:creator>lenovo</dc:creator>
  <cp:lastModifiedBy>Administrator</cp:lastModifiedBy>
  <dcterms:modified xsi:type="dcterms:W3CDTF">2023-01-30T03:29:47Z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41CB99DF60A54CACBA990AB8BB45CF95</vt:lpwstr>
  </property>
</Properties>
</file>