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535353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53535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35353"/>
          <w:kern w:val="0"/>
          <w:sz w:val="44"/>
          <w:szCs w:val="44"/>
          <w:shd w:val="clear" w:color="auto" w:fill="FFFFFF"/>
        </w:rPr>
        <w:t>芮城县医疗保障局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53535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35353"/>
          <w:kern w:val="0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left="640" w:leftChars="305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left="640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(一)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sz w:val="32"/>
          <w:szCs w:val="32"/>
        </w:rPr>
        <w:t>履职情况</w:t>
      </w:r>
    </w:p>
    <w:p>
      <w:pPr>
        <w:ind w:left="640"/>
        <w:rPr>
          <w:rFonts w:ascii="Times New Roman" w:hAnsi="Times New Roman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1、医保基金运行保持平稳，群众看病就医费用报销得到有力保障。</w:t>
      </w:r>
    </w:p>
    <w:p>
      <w:pPr>
        <w:ind w:firstLine="640" w:firstLineChars="200"/>
        <w:rPr>
          <w:rFonts w:ascii="Times New Roman" w:hAnsi="Times New Roman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333333"/>
          <w:sz w:val="32"/>
          <w:szCs w:val="32"/>
          <w:shd w:val="clear" w:color="auto" w:fill="FFFFFF"/>
        </w:rPr>
        <w:t>2022年我县基本医疗保险参保人数</w:t>
      </w:r>
      <w:r>
        <w:rPr>
          <w:rFonts w:hint="eastAsia" w:ascii="仿宋" w:hAnsi="仿宋" w:eastAsia="仿宋"/>
          <w:color w:val="000000"/>
          <w:sz w:val="32"/>
          <w:szCs w:val="32"/>
        </w:rPr>
        <w:t>325471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参保覆盖率稳定在99.6%。全年共征收医保费36477.06万元（城乡居民征收28078万元;城镇职工征收8399.06万元），统筹基金支付19678.78万元（城乡居民17228.78万元、城镇职工2450万元），职工个人账户支付3159.12万元 。</w:t>
      </w:r>
      <w:r>
        <w:rPr>
          <w:rFonts w:ascii="Times New Roman" w:hAnsi="Times New Roman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12"/>
        <w:ind w:firstLine="630" w:firstLineChars="196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2、医保惠民政策全面落实，群众就医负担不断减轻。</w:t>
      </w:r>
    </w:p>
    <w:p>
      <w:pPr>
        <w:pStyle w:val="12"/>
        <w:ind w:firstLine="630" w:firstLineChars="196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一是推进脱贫攻坚与乡村振兴医保政策有效衔接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“参保分类资助、普惠医疗保障、大病保险倾斜、医疗保障托底”的医保政策，扎实推进脱贫攻坚成果与乡村振兴有效衔接的政策落地生根。2022年资助各类困难群体参保12693人，资助医保缴费314.256万元；享受慢性病待遇1397人，支付；医疗救助5478人次，待遇支付308.82万元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二是调整慢性病待遇政策,不断提高保障水平。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调整了职工慢性病的病种,由原来的19种调整提高到45种，和城乡居民病种一致;城乡居民慢性病报销待遇平均提高10%左右。截至目前，全县慢性病办理18311人, 慢性病就诊156239人次，待遇支付2967.64万元。纳入“两病”管理28801人，就诊3050人次，待遇支付12.5万元；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三是推进城乡居民门诊统筹扎实惠民。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通过加大政策宣传和实操培训，推进门诊统筹工作落地开花。全年享受44.9万人次，待遇支付1860.41万元，这项工作在全市排在前列；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四是持续推进带量招采药品、耗材使用，降低群众就医成本。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我县集采品种已达482种（其中药品306种，耗材176种），累计集采金额达到2558.8万元，轻群众负担6743.6万元，医疗机构累计结余留用达到269.19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万元；五是持续做好常态化疫情防控保障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。做好疫情救治预付款、疫苗接种费的拨付，按要求及时调整核酸及抗原检测价格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ind w:firstLine="630" w:firstLineChars="196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基金使用效率更加彰显，基金安全的防火墙更加牢固。</w:t>
      </w:r>
      <w:r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年初，县政府办下发了落实市政府加强基金监管的责任细化方案，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加强了医保基金监管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,</w:t>
      </w:r>
      <w:r>
        <w:rPr>
          <w:rFonts w:hint="eastAsia" w:ascii="Times New Roman" w:hAnsi="Times New Roman" w:eastAsia="仿宋_GB2312" w:cs="仿宋_GB2312"/>
          <w:bCs/>
          <w:spacing w:val="-11"/>
          <w:sz w:val="32"/>
          <w:szCs w:val="32"/>
        </w:rPr>
        <w:t>控制不合理费用增长，提高基金的使用效率。</w:t>
      </w:r>
      <w:r>
        <w:rPr>
          <w:rFonts w:hint="eastAsia" w:ascii="Times New Roman" w:hAnsi="Times New Roman" w:eastAsia="仿宋_GB2312" w:cs="仿宋_GB2312"/>
          <w:bCs/>
          <w:spacing w:val="-6"/>
          <w:sz w:val="32"/>
          <w:szCs w:val="32"/>
        </w:rPr>
        <w:t>持</w:t>
      </w:r>
      <w:r>
        <w:rPr>
          <w:rFonts w:hint="eastAsia" w:ascii="Times New Roman" w:hAnsi="Times New Roman" w:eastAsia="仿宋_GB2312" w:cs="仿宋_GB2312"/>
          <w:bCs/>
          <w:spacing w:val="-11"/>
          <w:sz w:val="32"/>
          <w:szCs w:val="32"/>
        </w:rPr>
        <w:t>续保持打击“欺诈骗保”高压态势，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严厉查处“三假”、</w:t>
      </w:r>
      <w:r>
        <w:rPr>
          <w:rStyle w:val="13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过度检查、过度治疗、违规收费等套取骗取医保基金问题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。全年检查覆盖率达100%，处理家数394家次，</w:t>
      </w:r>
      <w:r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拒付资金161家次，约谈整改392家次，暂停医保5家次，移交纪检1起,共计追回违规金额174.06万元。</w:t>
      </w:r>
      <w:r>
        <w:rPr>
          <w:rFonts w:ascii="Times New Roman" w:hAnsi="Times New Roman" w:eastAsia="仿宋_GB2312" w:cs="仿宋_GB2312"/>
          <w:bCs/>
          <w:sz w:val="32"/>
          <w:szCs w:val="32"/>
        </w:rPr>
        <w:t xml:space="preserve"> </w:t>
      </w:r>
    </w:p>
    <w:p>
      <w:pPr>
        <w:pStyle w:val="12"/>
        <w:ind w:firstLine="630" w:firstLineChars="196"/>
        <w:rPr>
          <w:rStyle w:val="13"/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4、奋力打通医保服务“最后一米”，</w:t>
      </w: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医保经办服务更加便捷高效。</w:t>
      </w:r>
    </w:p>
    <w:p>
      <w:pPr>
        <w:pStyle w:val="12"/>
        <w:ind w:firstLine="630" w:firstLineChars="196"/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Style w:val="13"/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大力推行“简化办”。</w:t>
      </w:r>
      <w:r>
        <w:rPr>
          <w:rStyle w:val="13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梳理经办事项，统一经办规程，开展“四减六增”服务，推进落实一体化支付方式改革，使原来手工结算需要一个月的办理时间，现在可缩短到10-15天办理，有些业务实现了及时支付，极大地缩短了办事时限，方便了群众</w:t>
      </w:r>
      <w:r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Style w:val="13"/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大力推行“网上办、掌上办、聚合办”。</w:t>
      </w:r>
      <w:r>
        <w:rPr>
          <w:rStyle w:val="13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优化经办流程，实现一体化医保平台与政务服务网、一窗受理、一证通办的对接，实现医保公共服务“线上一网通、线下一门办”。目前，10大项29小项公共服务项目已100%落实</w:t>
      </w:r>
      <w:r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Style w:val="13"/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大力推行“便民办”。</w:t>
      </w:r>
      <w:r>
        <w:rPr>
          <w:rStyle w:val="13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全面实现省内住院免备案、跨省异地职工门诊卡直接刷卡结算、五种重大慢性疾病全国直接结算、住院病人跨统筹区基本医保、大病保险、医疗救助、补充医保实现“一站式结算”。</w:t>
      </w:r>
      <w:r>
        <w:rPr>
          <w:rStyle w:val="13"/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四是持续推进县乡村三级服务体系规范建设。</w:t>
      </w:r>
      <w:r>
        <w:rPr>
          <w:rStyle w:val="13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建立健全了县乡村三级经办服务网络，明确了村服务点、镇便民服务窗口、医保大厅的职责，设立151个村级服务点、10个乡镇服务窗口</w:t>
      </w:r>
      <w:r>
        <w:rPr>
          <w:rStyle w:val="13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，三级服务体系建设的做法在全市处于引领地位，8月市医保局组织13县在我县召开现场观摩会，并在全市推广学习。9月份医保大厅搬至人民之家，实行综合柜员制，更加规范了经办便民服务窗口。</w:t>
      </w:r>
    </w:p>
    <w:p>
      <w:pPr>
        <w:pStyle w:val="12"/>
        <w:ind w:firstLine="627" w:firstLineChars="196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sz w:val="32"/>
          <w:szCs w:val="32"/>
        </w:rPr>
        <w:t>（二）亮点工作。</w:t>
      </w:r>
      <w:r>
        <w:rPr>
          <w:rFonts w:hint="eastAsia" w:ascii="仿宋" w:hAnsi="仿宋" w:eastAsia="仿宋" w:cs="方正楷体简体"/>
          <w:b/>
          <w:sz w:val="32"/>
          <w:szCs w:val="32"/>
        </w:rPr>
        <w:t>一是</w:t>
      </w:r>
      <w:r>
        <w:rPr>
          <w:rFonts w:hint="eastAsia" w:ascii="仿宋" w:hAnsi="仿宋" w:eastAsia="仿宋" w:cs="方正楷体简体"/>
          <w:sz w:val="32"/>
          <w:szCs w:val="32"/>
        </w:rPr>
        <w:t>2023年城乡居民医保费征缴工作保持全市第一方阵；</w:t>
      </w:r>
      <w:r>
        <w:rPr>
          <w:rFonts w:hint="eastAsia" w:ascii="仿宋" w:hAnsi="仿宋" w:eastAsia="仿宋" w:cs="方正楷体简体"/>
          <w:b/>
          <w:sz w:val="32"/>
          <w:szCs w:val="32"/>
        </w:rPr>
        <w:t>二是</w:t>
      </w:r>
      <w:r>
        <w:rPr>
          <w:rFonts w:hint="eastAsia" w:ascii="仿宋" w:hAnsi="仿宋" w:eastAsia="仿宋" w:cs="方正楷体简体"/>
          <w:sz w:val="32"/>
          <w:szCs w:val="32"/>
        </w:rPr>
        <w:t>进一步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县乡村三级公共服务体系，提升了以县城为中心、以乡镇为枢纽、以农村为哨所的医保经办服务体系功能，使群众了解医保政策、办理基本医保业务不出村、镇，极大的方便了群众。此项工作被全市推广示范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城乡居民门诊统筹政策扎实惠民，城乡居民享受率达42%，位列全市第一。</w:t>
      </w:r>
    </w:p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2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5"/>
        <w:gridCol w:w="1554"/>
        <w:gridCol w:w="1617"/>
        <w:gridCol w:w="2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本年制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发件数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本年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废止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件数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规章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行政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0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0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60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after="24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三、本年度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危及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（六）其他处理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4"/>
      </w:pPr>
    </w:p>
    <w:tbl>
      <w:tblPr>
        <w:tblStyle w:val="6"/>
        <w:tblW w:w="90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596"/>
        <w:gridCol w:w="596"/>
        <w:gridCol w:w="596"/>
        <w:gridCol w:w="659"/>
        <w:gridCol w:w="543"/>
        <w:gridCol w:w="597"/>
        <w:gridCol w:w="597"/>
        <w:gridCol w:w="597"/>
        <w:gridCol w:w="1030"/>
        <w:gridCol w:w="603"/>
        <w:gridCol w:w="520"/>
        <w:gridCol w:w="537"/>
        <w:gridCol w:w="520"/>
        <w:gridCol w:w="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603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67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存在的问题：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一是政务信息公开的内容还不够全面不够系统；二是信息公开更新还不够及时主动。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改进方向：一是认真组织学习《中华人民共和国政府信息公开条例》，做到能公尽公，推行办公透明化；二是强化宣传梳理完善医保相关政策规范性文件，积极进行公开并及时更新，持续提升群众对医保政策的知晓度和满意度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芮城县医疗保障局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2023年1月20日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C9E3D"/>
    <w:multiLevelType w:val="singleLevel"/>
    <w:tmpl w:val="2F8C9E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7F5A4228"/>
    <w:rsid w:val="00141002"/>
    <w:rsid w:val="00154BC8"/>
    <w:rsid w:val="00217761"/>
    <w:rsid w:val="002526AF"/>
    <w:rsid w:val="002A0682"/>
    <w:rsid w:val="002F68CC"/>
    <w:rsid w:val="00326E4D"/>
    <w:rsid w:val="003713B6"/>
    <w:rsid w:val="00373472"/>
    <w:rsid w:val="003A3FC2"/>
    <w:rsid w:val="003E1745"/>
    <w:rsid w:val="003E540A"/>
    <w:rsid w:val="003E7A02"/>
    <w:rsid w:val="0044660D"/>
    <w:rsid w:val="005B219F"/>
    <w:rsid w:val="00604CE1"/>
    <w:rsid w:val="00646762"/>
    <w:rsid w:val="006520E2"/>
    <w:rsid w:val="006644A0"/>
    <w:rsid w:val="006E6FE9"/>
    <w:rsid w:val="00711B33"/>
    <w:rsid w:val="007C78A2"/>
    <w:rsid w:val="00811316"/>
    <w:rsid w:val="008164FB"/>
    <w:rsid w:val="0086741F"/>
    <w:rsid w:val="008B73C4"/>
    <w:rsid w:val="008D414F"/>
    <w:rsid w:val="00AD4C39"/>
    <w:rsid w:val="00AF3147"/>
    <w:rsid w:val="00B33513"/>
    <w:rsid w:val="00CA63B5"/>
    <w:rsid w:val="00CF1D36"/>
    <w:rsid w:val="00D02FA2"/>
    <w:rsid w:val="00D6113D"/>
    <w:rsid w:val="00DC1D0E"/>
    <w:rsid w:val="00E44EB1"/>
    <w:rsid w:val="00E909D9"/>
    <w:rsid w:val="00EA6F1B"/>
    <w:rsid w:val="00EE629E"/>
    <w:rsid w:val="00F0231E"/>
    <w:rsid w:val="00F40E6A"/>
    <w:rsid w:val="00F87CD8"/>
    <w:rsid w:val="0A571503"/>
    <w:rsid w:val="0FC54735"/>
    <w:rsid w:val="11DC056C"/>
    <w:rsid w:val="1A9F5A79"/>
    <w:rsid w:val="1AA63DF3"/>
    <w:rsid w:val="1D1C49C1"/>
    <w:rsid w:val="1ED279F9"/>
    <w:rsid w:val="238A136D"/>
    <w:rsid w:val="27071EAA"/>
    <w:rsid w:val="324A1AB9"/>
    <w:rsid w:val="347702C4"/>
    <w:rsid w:val="4358679B"/>
    <w:rsid w:val="490D0017"/>
    <w:rsid w:val="49CA1375"/>
    <w:rsid w:val="504472E9"/>
    <w:rsid w:val="51EF1504"/>
    <w:rsid w:val="62596D00"/>
    <w:rsid w:val="62D979E6"/>
    <w:rsid w:val="66395ED1"/>
    <w:rsid w:val="699F6D35"/>
    <w:rsid w:val="773A15B6"/>
    <w:rsid w:val="7F5A42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No Spacing"/>
    <w:qFormat/>
    <w:uiPriority w:val="1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13">
    <w:name w:val="NormalCharacter"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2623</Words>
  <Characters>2800</Characters>
  <Lines>22</Lines>
  <Paragraphs>6</Paragraphs>
  <TotalTime>18</TotalTime>
  <ScaleCrop>false</ScaleCrop>
  <LinksUpToDate>false</LinksUpToDate>
  <CharactersWithSpaces>2818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2023-01-21T06:17:00Z</dcterms:created>
  <dc:creator>y</dc:creator>
  <cp:lastModifiedBy>Administrator</cp:lastModifiedBy>
  <cp:lastPrinted>2020-03-02T08:47:00Z</cp:lastPrinted>
  <dcterms:modified xsi:type="dcterms:W3CDTF">2023-01-21T08:48:42Z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BCF589A056804510A700BCC6A3E468D8</vt:lpwstr>
  </property>
</Properties>
</file>