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sz w:val="44"/>
          <w:szCs w:val="44"/>
        </w:rPr>
      </w:pPr>
      <w:r>
        <w:rPr>
          <w:rFonts w:hint="eastAsia" w:ascii="方正小标宋简体" w:hAnsi="方正小标宋简体" w:eastAsia="方正小标宋简体" w:cs="方正小标宋简体"/>
          <w:b w:val="0"/>
          <w:bCs w:val="0"/>
          <w:sz w:val="44"/>
          <w:szCs w:val="44"/>
          <w:lang w:eastAsia="zh-CN"/>
        </w:rPr>
        <w:t>芮城县</w:t>
      </w:r>
      <w:r>
        <w:rPr>
          <w:rFonts w:hint="eastAsia" w:ascii="方正小标宋简体" w:hAnsi="方正小标宋简体" w:eastAsia="方正小标宋简体" w:cs="方正小标宋简体"/>
          <w:b w:val="0"/>
          <w:bCs w:val="0"/>
          <w:sz w:val="44"/>
          <w:szCs w:val="44"/>
          <w:lang w:val="en-US" w:eastAsia="zh-CN"/>
        </w:rPr>
        <w:t>东垆乡</w:t>
      </w: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年部门预算</w:t>
      </w:r>
      <w:r>
        <w:rPr>
          <w:rFonts w:hint="eastAsia" w:ascii="方正小标宋简体" w:hAnsi="方正小标宋简体" w:eastAsia="方正小标宋简体" w:cs="方正小标宋简体"/>
          <w:b w:val="0"/>
          <w:bCs w:val="0"/>
          <w:sz w:val="44"/>
          <w:szCs w:val="44"/>
          <w:lang w:eastAsia="zh-CN"/>
        </w:rPr>
        <w:t>公开</w:t>
      </w:r>
    </w:p>
    <w:p>
      <w:pPr>
        <w:keepNext w:val="0"/>
        <w:keepLines w:val="0"/>
        <w:pageBreakBefore w:val="0"/>
        <w:widowControl w:val="0"/>
        <w:kinsoku/>
        <w:wordWrap/>
        <w:overflowPunct/>
        <w:topLinePunct w:val="0"/>
        <w:autoSpaceDE/>
        <w:autoSpaceDN/>
        <w:bidi w:val="0"/>
        <w:adjustRightInd/>
        <w:snapToGrid/>
        <w:spacing w:line="700" w:lineRule="exact"/>
        <w:ind w:firstLine="879"/>
        <w:jc w:val="center"/>
        <w:textAlignment w:val="auto"/>
        <w:outlineLvl w:val="9"/>
        <w:rPr>
          <w:rFonts w:hint="eastAsia" w:ascii="华文中宋" w:hAnsi="华文中宋" w:eastAsia="华文中宋"/>
          <w:sz w:val="44"/>
          <w:szCs w:val="44"/>
        </w:rPr>
      </w:pPr>
    </w:p>
    <w:p>
      <w:pPr>
        <w:ind w:firstLine="880"/>
        <w:jc w:val="center"/>
        <w:rPr>
          <w:rFonts w:hint="eastAsia" w:ascii="华文中宋" w:hAnsi="华文中宋" w:eastAsia="华文中宋"/>
          <w:sz w:val="44"/>
          <w:szCs w:val="44"/>
        </w:rPr>
      </w:pPr>
      <w:r>
        <w:rPr>
          <w:rFonts w:hint="eastAsia" w:ascii="华文中宋" w:hAnsi="华文中宋" w:eastAsia="华文中宋"/>
          <w:sz w:val="44"/>
          <w:szCs w:val="44"/>
        </w:rPr>
        <w:t>目录</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ascii="黑体" w:hAnsi="黑体" w:eastAsia="黑体"/>
          <w:sz w:val="32"/>
          <w:szCs w:val="32"/>
        </w:rPr>
      </w:pPr>
      <w:r>
        <w:rPr>
          <w:rFonts w:hint="eastAsia" w:ascii="黑体" w:hAnsi="黑体" w:eastAsia="黑体"/>
          <w:sz w:val="32"/>
          <w:szCs w:val="32"/>
        </w:rPr>
        <w:t>第一部分  概况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一、本部门职责</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二、机构设置情况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lang w:eastAsia="zh-CN"/>
        </w:rPr>
      </w:pPr>
      <w:r>
        <w:rPr>
          <w:rFonts w:hint="eastAsia" w:ascii="仿宋_GB2312" w:hAnsi="楷体"/>
          <w:sz w:val="32"/>
          <w:szCs w:val="32"/>
        </w:rPr>
        <w:t>一、</w:t>
      </w:r>
      <w:r>
        <w:rPr>
          <w:rFonts w:hint="eastAsia" w:ascii="仿宋_GB2312" w:hAnsi="楷体"/>
          <w:sz w:val="32"/>
          <w:szCs w:val="32"/>
          <w:lang w:eastAsia="zh-CN"/>
        </w:rPr>
        <w:t>本级预算情况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二、预算收支增减变化及情况说明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三、机关运行经费安排情况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四、三公经费增减变化及原因</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五、政府采购预算情况说明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六、行政事业单位国有资产使用占用情况说明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七、项目绩效目标情况说明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    部门收支总表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预算公开表2    部门收入总表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预算公开表3    部门支出总表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预算公开表4    财政拨款收支总表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预算公开表5    一般公共预算支出预算表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预算公开表5    一般公共预算基本支出表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预算公开表6    一般公共预算安排基本支出分经济科目表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预算公开表7    政府性基金预算收入表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预算公开表8    政府性基金预算支出表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预算公开表9    一般公共预算“三公”经费支出情况统计表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预算公开表10   机关运行经费预算财政拨款情况统计表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预算公开表11   政府采购预算表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预算公开表12   项目支出绩效目标信息公开</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r>
        <w:rPr>
          <w:rFonts w:hint="eastAsia" w:ascii="黑体" w:hAnsi="黑体" w:eastAsia="黑体"/>
          <w:sz w:val="32"/>
          <w:szCs w:val="32"/>
        </w:rPr>
        <w:t xml:space="preserve"> 概况</w:t>
      </w:r>
    </w:p>
    <w:p>
      <w:pPr>
        <w:keepNext w:val="0"/>
        <w:keepLines w:val="0"/>
        <w:pageBreakBefore w:val="0"/>
        <w:numPr>
          <w:ilvl w:val="0"/>
          <w:numId w:val="2"/>
        </w:numPr>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本部门职责</w:t>
      </w:r>
    </w:p>
    <w:p>
      <w:pPr>
        <w:jc w:val="left"/>
        <w:rPr>
          <w:rFonts w:hint="eastAsia" w:ascii="仿宋_GB2312" w:hAnsi="仿宋_GB2312" w:eastAsia="仿宋_GB2312" w:cs="仿宋_GB2312"/>
          <w:sz w:val="32"/>
          <w:szCs w:val="32"/>
        </w:rPr>
      </w:pPr>
      <w:r>
        <w:rPr>
          <w:rFonts w:hint="eastAsia" w:ascii="仿宋_GB2312" w:hAnsi="楷体"/>
          <w:sz w:val="32"/>
          <w:szCs w:val="32"/>
          <w:lang w:val="en-US" w:eastAsia="zh-CN"/>
        </w:rPr>
        <w:t xml:space="preserve">    </w:t>
      </w:r>
      <w:r>
        <w:rPr>
          <w:rFonts w:hint="eastAsia" w:ascii="仿宋_GB2312" w:hAnsi="宋体" w:eastAsia="仿宋_GB2312"/>
          <w:color w:val="FF0000"/>
          <w:sz w:val="32"/>
          <w:szCs w:val="32"/>
        </w:rPr>
        <w:t xml:space="preserve"> </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en-US" w:eastAsia="zh-CN"/>
        </w:rPr>
        <w:t>乡</w:t>
      </w:r>
      <w:r>
        <w:rPr>
          <w:rFonts w:hint="eastAsia" w:ascii="仿宋_GB2312" w:hAnsi="仿宋_GB2312" w:eastAsia="仿宋_GB2312" w:cs="仿宋_GB2312"/>
          <w:b/>
          <w:bCs/>
          <w:sz w:val="32"/>
          <w:szCs w:val="32"/>
        </w:rPr>
        <w:t>党委的主要职责</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1、贯彻执行党的路线方针政策和上级党组织及本</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党员代表大会（党员大会）的决议。</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2、讨论决定本乡镇经济建设和社会发展中的重大问题。需由乡镇政权机关和集体经济组织决定的问题，由乡镇政权机关或集体经济组织依照法律和有关规定作出决定。</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3、领导乡镇政权机关和群众组织，支持和保证这些机关和组织依照国家法律规定及各自章程充分行使职权。</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4、加强乡镇党委自身建设和以党支部为核心的村级组织建设。</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5、按照干部管理权限，负责对干部的教育，培养、选拔、和监督工作，协助管理上级有关驻乡镇单位的干部。</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6、领导本乡镇的社会主义民主法治建设和精神文明建设，做好社会治安综合治理及计划生育工作。</w:t>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乡</w:t>
      </w:r>
      <w:r>
        <w:rPr>
          <w:rFonts w:hint="eastAsia" w:ascii="仿宋_GB2312" w:hAnsi="仿宋_GB2312" w:eastAsia="仿宋_GB2312" w:cs="仿宋_GB2312"/>
          <w:b/>
          <w:bCs/>
          <w:sz w:val="32"/>
          <w:szCs w:val="32"/>
        </w:rPr>
        <w:t>人民政府的主要职责</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1、执行</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人民代表大会的决议和上级国家行政机关的决定和命令，发布决定和命令。</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2、执行本</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的经济和社会发展计划、预算、管理本行政区域内的经济、教育、科学、文化、卫生、体育事业和财政、民政、公安、司法行政、计划生育等行政工作。</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3、保护国家财产和集体所有财产，保护公民私人所有的合法财产，维护社会秩序、保障公民的人身权利、民主权利和其他权利。</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4、保障各种经济组织的合法权益。</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5、保障宪法和法律赋予的男女平等、同工同酬和婚姻自由等各项权利。</w:t>
      </w:r>
    </w:p>
    <w:p>
      <w:pPr>
        <w:jc w:val="left"/>
        <w:rPr>
          <w:rFonts w:hint="eastAsia" w:ascii="仿宋_GB2312" w:hAnsi="楷体" w:eastAsia="宋体"/>
          <w:sz w:val="32"/>
          <w:szCs w:val="32"/>
          <w:lang w:val="en-US" w:eastAsia="zh-CN"/>
        </w:rPr>
      </w:pPr>
      <w:r>
        <w:rPr>
          <w:rFonts w:hint="eastAsia" w:ascii="仿宋_GB2312" w:hAnsi="仿宋_GB2312" w:eastAsia="仿宋_GB2312" w:cs="仿宋_GB2312"/>
          <w:sz w:val="32"/>
          <w:szCs w:val="32"/>
        </w:rPr>
        <w:t xml:space="preserve">    6、办理上级人民政府交办的其它事项。</w:t>
      </w:r>
    </w:p>
    <w:p>
      <w:pPr>
        <w:keepNext w:val="0"/>
        <w:keepLines w:val="0"/>
        <w:pageBreakBefore w:val="0"/>
        <w:numPr>
          <w:ilvl w:val="0"/>
          <w:numId w:val="2"/>
        </w:numPr>
        <w:kinsoku/>
        <w:wordWrap/>
        <w:overflowPunct/>
        <w:topLinePunct w:val="0"/>
        <w:autoSpaceDE/>
        <w:autoSpaceDN/>
        <w:bidi w:val="0"/>
        <w:adjustRightInd/>
        <w:snapToGrid/>
        <w:spacing w:line="700" w:lineRule="exact"/>
        <w:ind w:left="0" w:leftChars="0" w:firstLine="640" w:firstLineChars="0"/>
        <w:textAlignment w:val="auto"/>
        <w:outlineLvl w:val="9"/>
        <w:rPr>
          <w:rFonts w:hint="eastAsia" w:ascii="仿宋_GB2312" w:hAnsi="楷体"/>
          <w:sz w:val="32"/>
          <w:szCs w:val="32"/>
        </w:rPr>
      </w:pPr>
      <w:r>
        <w:rPr>
          <w:rFonts w:hint="eastAsia" w:ascii="仿宋_GB2312" w:hAnsi="楷体"/>
          <w:sz w:val="32"/>
          <w:szCs w:val="32"/>
        </w:rPr>
        <w:t>机构设置情况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我单位属</w:t>
      </w:r>
      <w:r>
        <w:rPr>
          <w:rFonts w:hint="eastAsia" w:ascii="仿宋_GB2312" w:hAnsi="仿宋_GB2312" w:eastAsia="仿宋_GB2312" w:cs="仿宋_GB2312"/>
          <w:sz w:val="32"/>
          <w:szCs w:val="32"/>
        </w:rPr>
        <w:t>全额财政拨款</w:t>
      </w:r>
      <w:r>
        <w:rPr>
          <w:rFonts w:hint="eastAsia" w:ascii="仿宋_GB2312" w:hAnsi="仿宋_GB2312" w:eastAsia="仿宋_GB2312" w:cs="仿宋_GB2312"/>
          <w:sz w:val="32"/>
          <w:szCs w:val="32"/>
          <w:lang w:eastAsia="zh-CN"/>
        </w:rPr>
        <w:t>行政</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内设</w:t>
      </w:r>
      <w:r>
        <w:rPr>
          <w:rFonts w:hint="eastAsia" w:ascii="仿宋_GB2312" w:hAnsi="仿宋_GB2312" w:eastAsia="仿宋_GB2312" w:cs="仿宋_GB2312"/>
          <w:sz w:val="32"/>
          <w:szCs w:val="32"/>
        </w:rPr>
        <w:t>党政综合办公室、综合行政执法办公室、经济发展办公室、社会事务办公室、规划建设办公室</w:t>
      </w:r>
      <w:r>
        <w:rPr>
          <w:rFonts w:hint="eastAsia" w:ascii="仿宋_GB2312" w:hAnsi="仿宋_GB2312" w:eastAsia="仿宋_GB2312" w:cs="仿宋_GB2312"/>
          <w:color w:val="000000"/>
          <w:sz w:val="32"/>
          <w:szCs w:val="32"/>
        </w:rPr>
        <w:t>五个综合</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sz w:val="32"/>
          <w:szCs w:val="32"/>
          <w:lang w:eastAsia="zh-CN"/>
        </w:rPr>
        <w:t>；</w:t>
      </w:r>
      <w:r>
        <w:rPr>
          <w:rFonts w:hint="eastAsia" w:ascii="仿宋" w:hAnsi="仿宋" w:eastAsia="仿宋" w:cs="仿宋_GB2312"/>
          <w:sz w:val="32"/>
          <w:szCs w:val="32"/>
        </w:rPr>
        <w:t>芮城县</w:t>
      </w:r>
      <w:r>
        <w:rPr>
          <w:rFonts w:hint="eastAsia" w:ascii="仿宋" w:hAnsi="仿宋" w:eastAsia="仿宋" w:cs="仿宋_GB2312"/>
          <w:sz w:val="32"/>
          <w:szCs w:val="32"/>
          <w:lang w:val="en-US" w:eastAsia="zh-CN"/>
        </w:rPr>
        <w:t>东垆乡</w:t>
      </w:r>
      <w:r>
        <w:rPr>
          <w:rFonts w:hint="eastAsia" w:ascii="仿宋" w:hAnsi="仿宋" w:eastAsia="仿宋" w:cs="仿宋_GB2312"/>
          <w:sz w:val="32"/>
          <w:szCs w:val="32"/>
        </w:rPr>
        <w:t>农村综合便民服务中心、芮城县</w:t>
      </w:r>
      <w:r>
        <w:rPr>
          <w:rFonts w:hint="eastAsia" w:ascii="仿宋" w:hAnsi="仿宋" w:eastAsia="仿宋" w:cs="仿宋_GB2312"/>
          <w:sz w:val="32"/>
          <w:szCs w:val="32"/>
          <w:lang w:val="en-US" w:eastAsia="zh-CN"/>
        </w:rPr>
        <w:t>东垆</w:t>
      </w:r>
      <w:r>
        <w:rPr>
          <w:rFonts w:hint="eastAsia" w:ascii="仿宋" w:hAnsi="仿宋" w:eastAsia="仿宋" w:cs="仿宋_GB2312"/>
          <w:sz w:val="32"/>
          <w:szCs w:val="32"/>
          <w:lang w:eastAsia="zh-CN"/>
        </w:rPr>
        <w:t>乡</w:t>
      </w:r>
      <w:r>
        <w:rPr>
          <w:rFonts w:hint="eastAsia" w:ascii="仿宋" w:hAnsi="仿宋" w:eastAsia="仿宋" w:cs="仿宋_GB2312"/>
          <w:sz w:val="32"/>
          <w:szCs w:val="32"/>
        </w:rPr>
        <w:t>退役军人服务中心</w:t>
      </w:r>
      <w:r>
        <w:rPr>
          <w:rFonts w:hint="eastAsia" w:ascii="仿宋" w:hAnsi="仿宋" w:eastAsia="仿宋" w:cs="仿宋_GB2312"/>
          <w:sz w:val="32"/>
          <w:szCs w:val="32"/>
          <w:lang w:eastAsia="zh-CN"/>
        </w:rPr>
        <w:t>、芮城县</w:t>
      </w:r>
      <w:r>
        <w:rPr>
          <w:rFonts w:hint="eastAsia" w:ascii="仿宋" w:hAnsi="仿宋" w:eastAsia="仿宋" w:cs="仿宋_GB2312"/>
          <w:sz w:val="32"/>
          <w:szCs w:val="32"/>
          <w:lang w:val="en-US" w:eastAsia="zh-CN"/>
        </w:rPr>
        <w:t>东垆乡</w:t>
      </w:r>
      <w:r>
        <w:rPr>
          <w:rFonts w:hint="eastAsia" w:ascii="仿宋" w:hAnsi="仿宋" w:eastAsia="仿宋" w:cs="仿宋_GB2312"/>
          <w:sz w:val="32"/>
          <w:szCs w:val="32"/>
          <w:lang w:eastAsia="zh-CN"/>
        </w:rPr>
        <w:t>党群服务中心</w:t>
      </w:r>
      <w:r>
        <w:rPr>
          <w:rFonts w:hint="eastAsia" w:ascii="仿宋" w:hAnsi="仿宋" w:eastAsia="仿宋"/>
          <w:color w:val="000000"/>
          <w:sz w:val="32"/>
          <w:szCs w:val="32"/>
          <w:lang w:eastAsia="zh-CN"/>
        </w:rPr>
        <w:t>三个事业办公室</w:t>
      </w:r>
      <w:r>
        <w:rPr>
          <w:rFonts w:hint="eastAsia" w:ascii="仿宋" w:hAnsi="仿宋" w:eastAsia="仿宋" w:cs="仿宋_GB2312"/>
          <w:sz w:val="32"/>
          <w:szCs w:val="32"/>
          <w:lang w:eastAsia="zh-CN"/>
        </w:rPr>
        <w:t>。</w:t>
      </w:r>
      <w:r>
        <w:rPr>
          <w:rFonts w:hint="eastAsia" w:ascii="仿宋" w:hAnsi="仿宋" w:eastAsia="仿宋" w:cs="仿宋"/>
          <w:color w:val="000000"/>
          <w:sz w:val="32"/>
          <w:szCs w:val="32"/>
          <w:lang w:eastAsia="zh-CN"/>
        </w:rPr>
        <w:t>在编人数</w:t>
      </w:r>
      <w:r>
        <w:rPr>
          <w:rFonts w:hint="eastAsia" w:ascii="仿宋" w:hAnsi="仿宋" w:eastAsia="仿宋" w:cs="仿宋"/>
          <w:color w:val="000000"/>
          <w:sz w:val="32"/>
          <w:szCs w:val="32"/>
          <w:lang w:val="en-US" w:eastAsia="zh-CN"/>
        </w:rPr>
        <w:t>45</w:t>
      </w:r>
      <w:r>
        <w:rPr>
          <w:rFonts w:hint="eastAsia" w:ascii="仿宋" w:hAnsi="仿宋" w:eastAsia="仿宋" w:cs="仿宋"/>
          <w:color w:val="000000"/>
          <w:sz w:val="32"/>
          <w:szCs w:val="32"/>
        </w:rPr>
        <w:t>人，其中行政人员</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人，事业人员</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退休人员</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一、本级预算情况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2022年收入预算</w:t>
      </w:r>
      <w:r>
        <w:rPr>
          <w:rFonts w:hint="eastAsia" w:ascii="仿宋_GB2312" w:hAnsi="仿宋_GB2312" w:eastAsia="仿宋_GB2312" w:cs="仿宋_GB2312"/>
          <w:sz w:val="32"/>
          <w:szCs w:val="32"/>
          <w:lang w:val="en-US" w:eastAsia="zh-CN"/>
        </w:rPr>
        <w:t>867.40</w:t>
      </w:r>
      <w:r>
        <w:rPr>
          <w:rFonts w:hint="eastAsia" w:ascii="仿宋" w:hAnsi="仿宋" w:eastAsia="仿宋" w:cs="仿宋"/>
          <w:b w:val="0"/>
          <w:bCs w:val="0"/>
          <w:color w:val="000000"/>
          <w:sz w:val="32"/>
          <w:szCs w:val="32"/>
          <w:lang w:val="en-US" w:eastAsia="zh-CN"/>
        </w:rPr>
        <w:t>万元，按照收支平衡原则，支出预算</w:t>
      </w:r>
      <w:r>
        <w:rPr>
          <w:rFonts w:hint="eastAsia" w:ascii="仿宋_GB2312" w:hAnsi="仿宋_GB2312" w:eastAsia="仿宋_GB2312" w:cs="仿宋_GB2312"/>
          <w:sz w:val="32"/>
          <w:szCs w:val="32"/>
          <w:lang w:val="en-US" w:eastAsia="zh-CN"/>
        </w:rPr>
        <w:t>867.40</w:t>
      </w:r>
      <w:r>
        <w:rPr>
          <w:rFonts w:hint="eastAsia" w:ascii="仿宋" w:hAnsi="仿宋" w:eastAsia="仿宋" w:cs="仿宋"/>
          <w:b w:val="0"/>
          <w:bCs w:val="0"/>
          <w:color w:val="000000"/>
          <w:sz w:val="32"/>
          <w:szCs w:val="32"/>
          <w:lang w:val="en-US" w:eastAsia="zh-CN"/>
        </w:rPr>
        <w:t>万元，其中工资福利支出</w:t>
      </w:r>
      <w:r>
        <w:rPr>
          <w:rFonts w:hint="eastAsia" w:ascii="仿宋_GB2312" w:hAnsi="仿宋_GB2312" w:eastAsia="仿宋_GB2312" w:cs="仿宋_GB2312"/>
          <w:sz w:val="32"/>
          <w:szCs w:val="32"/>
          <w:lang w:val="en-US" w:eastAsia="zh-CN"/>
        </w:rPr>
        <w:t>446.61</w:t>
      </w:r>
      <w:r>
        <w:rPr>
          <w:rFonts w:hint="eastAsia" w:ascii="仿宋" w:hAnsi="仿宋" w:eastAsia="仿宋" w:cs="仿宋"/>
          <w:b w:val="0"/>
          <w:bCs w:val="0"/>
          <w:color w:val="000000"/>
          <w:sz w:val="32"/>
          <w:szCs w:val="32"/>
          <w:lang w:val="en-US" w:eastAsia="zh-CN"/>
        </w:rPr>
        <w:t>万元，对个人和家庭补助</w:t>
      </w:r>
      <w:r>
        <w:rPr>
          <w:rFonts w:hint="eastAsia" w:ascii="仿宋_GB2312" w:hAnsi="仿宋_GB2312" w:eastAsia="仿宋_GB2312" w:cs="仿宋_GB2312"/>
          <w:sz w:val="32"/>
          <w:szCs w:val="32"/>
          <w:lang w:val="en-US" w:eastAsia="zh-CN"/>
        </w:rPr>
        <w:t>9.20</w:t>
      </w:r>
      <w:r>
        <w:rPr>
          <w:rFonts w:hint="eastAsia" w:ascii="仿宋" w:hAnsi="仿宋" w:eastAsia="仿宋" w:cs="仿宋"/>
          <w:b w:val="0"/>
          <w:bCs w:val="0"/>
          <w:color w:val="000000"/>
          <w:sz w:val="32"/>
          <w:szCs w:val="32"/>
          <w:lang w:val="en-US" w:eastAsia="zh-CN"/>
        </w:rPr>
        <w:t>万元，商品和服务支出</w:t>
      </w:r>
      <w:r>
        <w:rPr>
          <w:rFonts w:hint="eastAsia" w:ascii="仿宋_GB2312" w:hAnsi="仿宋_GB2312" w:eastAsia="仿宋_GB2312" w:cs="仿宋_GB2312"/>
          <w:sz w:val="32"/>
          <w:szCs w:val="32"/>
          <w:lang w:val="en-US" w:eastAsia="zh-CN"/>
        </w:rPr>
        <w:t>56.13</w:t>
      </w:r>
      <w:r>
        <w:rPr>
          <w:rFonts w:hint="eastAsia" w:ascii="仿宋" w:hAnsi="仿宋" w:eastAsia="仿宋" w:cs="仿宋"/>
          <w:b w:val="0"/>
          <w:bCs w:val="0"/>
          <w:color w:val="000000"/>
          <w:sz w:val="32"/>
          <w:szCs w:val="32"/>
          <w:lang w:val="en-US" w:eastAsia="zh-CN"/>
        </w:rPr>
        <w:t>万元，项目支出</w:t>
      </w:r>
      <w:r>
        <w:rPr>
          <w:rFonts w:hint="eastAsia" w:ascii="仿宋_GB2312" w:hAnsi="仿宋_GB2312" w:eastAsia="仿宋_GB2312" w:cs="仿宋_GB2312"/>
          <w:sz w:val="32"/>
          <w:szCs w:val="32"/>
          <w:lang w:val="en-US" w:eastAsia="zh-CN"/>
        </w:rPr>
        <w:t>352.11</w:t>
      </w:r>
      <w:r>
        <w:rPr>
          <w:rFonts w:hint="eastAsia" w:ascii="仿宋" w:hAnsi="仿宋" w:eastAsia="仿宋" w:cs="仿宋"/>
          <w:b w:val="0"/>
          <w:bCs w:val="0"/>
          <w:color w:val="000000"/>
          <w:sz w:val="32"/>
          <w:szCs w:val="32"/>
          <w:lang w:val="en-US" w:eastAsia="zh-CN"/>
        </w:rPr>
        <w:t>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预算收支增减变化及情况说明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年预算总收入</w:t>
      </w:r>
      <w:r>
        <w:rPr>
          <w:rFonts w:hint="eastAsia" w:ascii="仿宋_GB2312" w:hAnsi="仿宋_GB2312" w:eastAsia="仿宋_GB2312" w:cs="仿宋_GB2312"/>
          <w:sz w:val="32"/>
          <w:szCs w:val="32"/>
          <w:lang w:val="en-US" w:eastAsia="zh-CN"/>
        </w:rPr>
        <w:t>867.40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，比</w:t>
      </w:r>
      <w:r>
        <w:rPr>
          <w:rFonts w:hint="eastAsia" w:ascii="仿宋" w:hAnsi="仿宋" w:eastAsia="仿宋" w:cs="仿宋"/>
          <w:color w:val="000000"/>
          <w:sz w:val="32"/>
          <w:szCs w:val="32"/>
          <w:lang w:val="en-US" w:eastAsia="zh-CN"/>
        </w:rPr>
        <w:t>2021年</w:t>
      </w:r>
      <w:r>
        <w:rPr>
          <w:rFonts w:hint="eastAsia" w:ascii="仿宋" w:hAnsi="仿宋" w:eastAsia="仿宋" w:cs="仿宋"/>
          <w:color w:val="000000"/>
          <w:sz w:val="32"/>
          <w:szCs w:val="32"/>
        </w:rPr>
        <w:t>增加</w:t>
      </w:r>
      <w:r>
        <w:rPr>
          <w:rFonts w:hint="eastAsia" w:ascii="仿宋_GB2312" w:hAnsi="仿宋_GB2312" w:eastAsia="仿宋_GB2312" w:cs="仿宋_GB2312"/>
          <w:sz w:val="32"/>
          <w:szCs w:val="32"/>
          <w:lang w:val="en-US" w:eastAsia="zh-CN"/>
        </w:rPr>
        <w:t>89.91</w:t>
      </w:r>
      <w:r>
        <w:rPr>
          <w:rFonts w:hint="eastAsia" w:ascii="仿宋" w:hAnsi="仿宋" w:eastAsia="仿宋" w:cs="仿宋"/>
          <w:color w:val="000000"/>
          <w:sz w:val="32"/>
          <w:szCs w:val="32"/>
          <w:lang w:val="en-US"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其中工资福利支出</w:t>
      </w:r>
      <w:r>
        <w:rPr>
          <w:rFonts w:hint="eastAsia" w:ascii="仿宋" w:hAnsi="仿宋" w:eastAsia="仿宋" w:cs="仿宋"/>
          <w:color w:val="000000"/>
          <w:sz w:val="32"/>
          <w:szCs w:val="32"/>
        </w:rPr>
        <w:t>比上年</w:t>
      </w:r>
      <w:r>
        <w:rPr>
          <w:rFonts w:hint="eastAsia" w:ascii="仿宋_GB2312" w:hAnsi="仿宋_GB2312" w:eastAsia="仿宋_GB2312" w:cs="仿宋_GB2312"/>
          <w:sz w:val="32"/>
          <w:szCs w:val="32"/>
          <w:lang w:eastAsia="zh-CN"/>
        </w:rPr>
        <w:t>减少了</w:t>
      </w:r>
      <w:r>
        <w:rPr>
          <w:rFonts w:hint="eastAsia" w:ascii="仿宋_GB2312" w:hAnsi="仿宋_GB2312" w:eastAsia="仿宋_GB2312" w:cs="仿宋_GB2312"/>
          <w:sz w:val="32"/>
          <w:szCs w:val="32"/>
          <w:lang w:val="en-US" w:eastAsia="zh-CN"/>
        </w:rPr>
        <w:t>11.74</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2"/>
          <w:szCs w:val="32"/>
          <w:lang w:eastAsia="zh-CN"/>
        </w:rPr>
        <w:t>人员减少</w:t>
      </w:r>
      <w:r>
        <w:rPr>
          <w:rFonts w:hint="eastAsia" w:ascii="仿宋" w:hAnsi="仿宋" w:eastAsia="仿宋" w:cs="仿宋"/>
          <w:color w:val="000000"/>
          <w:sz w:val="32"/>
          <w:szCs w:val="32"/>
        </w:rPr>
        <w:t>。对个人和家庭补助比上年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0.68万</w:t>
      </w:r>
      <w:r>
        <w:rPr>
          <w:rFonts w:hint="eastAsia" w:ascii="仿宋_GB2312" w:hAnsi="仿宋_GB2312" w:eastAsia="仿宋_GB2312" w:cs="仿宋_GB2312"/>
          <w:sz w:val="32"/>
          <w:szCs w:val="32"/>
        </w:rPr>
        <w:t>元</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2"/>
          <w:szCs w:val="32"/>
          <w:lang w:eastAsia="zh-CN"/>
        </w:rPr>
        <w:t>遗属补助人员补助标准提高</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商品和服务支出比上年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12.51万</w:t>
      </w:r>
      <w:r>
        <w:rPr>
          <w:rFonts w:hint="eastAsia" w:ascii="仿宋_GB2312" w:hAnsi="仿宋_GB2312" w:eastAsia="仿宋_GB2312" w:cs="仿宋_GB2312"/>
          <w:sz w:val="32"/>
          <w:szCs w:val="32"/>
        </w:rPr>
        <w:t>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2"/>
          <w:szCs w:val="32"/>
          <w:lang w:eastAsia="zh-CN"/>
        </w:rPr>
        <w:t>乡镇事业人员发放了交通补贴</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项目支出比上年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90.71万</w:t>
      </w:r>
      <w:r>
        <w:rPr>
          <w:rFonts w:hint="eastAsia" w:ascii="仿宋_GB2312" w:hAnsi="仿宋_GB2312" w:eastAsia="仿宋_GB2312" w:cs="仿宋_GB2312"/>
          <w:sz w:val="32"/>
          <w:szCs w:val="32"/>
        </w:rPr>
        <w:t>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2"/>
          <w:szCs w:val="32"/>
          <w:lang w:val="en-US" w:eastAsia="zh-CN"/>
        </w:rPr>
        <w:t>本年增加项目资金</w:t>
      </w:r>
      <w:r>
        <w:rPr>
          <w:rFonts w:hint="eastAsia" w:ascii="仿宋" w:hAnsi="仿宋" w:eastAsia="仿宋" w:cs="仿宋"/>
          <w:color w:val="000000"/>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机关运行经费安排情况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2022年我单位</w:t>
      </w:r>
      <w:r>
        <w:rPr>
          <w:rFonts w:hint="eastAsia" w:ascii="仿宋" w:hAnsi="仿宋" w:eastAsia="仿宋" w:cs="仿宋"/>
          <w:color w:val="000000"/>
          <w:sz w:val="32"/>
          <w:szCs w:val="32"/>
        </w:rPr>
        <w:t>机关运行经费（日常商品和服务）</w:t>
      </w:r>
      <w:r>
        <w:rPr>
          <w:rFonts w:hint="eastAsia" w:ascii="仿宋" w:hAnsi="仿宋" w:eastAsia="仿宋" w:cs="仿宋"/>
          <w:color w:val="000000"/>
          <w:sz w:val="32"/>
          <w:szCs w:val="32"/>
          <w:lang w:eastAsia="zh-CN"/>
        </w:rPr>
        <w:t>安排</w:t>
      </w:r>
      <w:r>
        <w:rPr>
          <w:rFonts w:hint="eastAsia" w:ascii="仿宋_GB2312" w:hAnsi="仿宋_GB2312" w:eastAsia="仿宋_GB2312" w:cs="仿宋_GB2312"/>
          <w:sz w:val="32"/>
          <w:szCs w:val="32"/>
          <w:lang w:val="en-US" w:eastAsia="zh-CN"/>
        </w:rPr>
        <w:t>56.13</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bookmarkStart w:id="0" w:name="_GoBack"/>
      <w:bookmarkEnd w:id="0"/>
      <w:r>
        <w:rPr>
          <w:rFonts w:hint="eastAsia" w:ascii="仿宋" w:hAnsi="仿宋" w:eastAsia="仿宋" w:cs="仿宋"/>
          <w:color w:val="000000"/>
          <w:sz w:val="32"/>
          <w:szCs w:val="32"/>
        </w:rPr>
        <w:t>其中</w:t>
      </w:r>
      <w:r>
        <w:rPr>
          <w:rFonts w:hint="eastAsia" w:ascii="仿宋_GB2312" w:hAnsi="仿宋_GB2312" w:eastAsia="仿宋_GB2312" w:cs="仿宋_GB2312"/>
          <w:sz w:val="32"/>
          <w:szCs w:val="32"/>
        </w:rPr>
        <w:t>办公经费</w:t>
      </w:r>
      <w:r>
        <w:rPr>
          <w:rFonts w:hint="eastAsia" w:ascii="仿宋_GB2312" w:hAnsi="仿宋_GB2312" w:eastAsia="仿宋_GB2312" w:cs="仿宋_GB2312"/>
          <w:sz w:val="32"/>
          <w:szCs w:val="32"/>
          <w:lang w:val="en-US" w:eastAsia="zh-CN"/>
        </w:rPr>
        <w:t>3.5万</w:t>
      </w:r>
      <w:r>
        <w:rPr>
          <w:rFonts w:hint="eastAsia" w:ascii="仿宋_GB2312" w:hAnsi="仿宋_GB2312" w:eastAsia="仿宋_GB2312" w:cs="仿宋_GB2312"/>
          <w:sz w:val="32"/>
          <w:szCs w:val="32"/>
        </w:rPr>
        <w:t>元，印刷费</w:t>
      </w:r>
      <w:r>
        <w:rPr>
          <w:rFonts w:hint="eastAsia" w:ascii="仿宋_GB2312" w:hAnsi="仿宋_GB2312" w:eastAsia="仿宋_GB2312" w:cs="仿宋_GB2312"/>
          <w:sz w:val="32"/>
          <w:szCs w:val="32"/>
          <w:lang w:val="en-US" w:eastAsia="zh-CN"/>
        </w:rPr>
        <w:t>4万</w:t>
      </w:r>
      <w:r>
        <w:rPr>
          <w:rFonts w:hint="eastAsia" w:ascii="仿宋_GB2312" w:hAnsi="仿宋_GB2312" w:eastAsia="仿宋_GB2312" w:cs="仿宋_GB2312"/>
          <w:sz w:val="32"/>
          <w:szCs w:val="32"/>
        </w:rPr>
        <w:t>元，水费</w:t>
      </w:r>
      <w:r>
        <w:rPr>
          <w:rFonts w:hint="eastAsia" w:ascii="仿宋_GB2312" w:hAnsi="仿宋_GB2312" w:eastAsia="仿宋_GB2312" w:cs="仿宋_GB2312"/>
          <w:sz w:val="32"/>
          <w:szCs w:val="32"/>
          <w:lang w:val="en-US" w:eastAsia="zh-CN"/>
        </w:rPr>
        <w:t>0.25万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电费</w:t>
      </w:r>
      <w:r>
        <w:rPr>
          <w:rFonts w:hint="eastAsia" w:ascii="仿宋_GB2312" w:hAnsi="仿宋_GB2312" w:eastAsia="仿宋_GB2312" w:cs="仿宋_GB2312"/>
          <w:sz w:val="32"/>
          <w:szCs w:val="32"/>
          <w:lang w:val="en-US" w:eastAsia="zh-CN"/>
        </w:rPr>
        <w:t>3万元，邮电费1万元，取暖费8万元，差旅费0.15万元，维修（护）费0.5万元，工会经费2.67万元，福利费2.67万元，公务用车运行维护费1.5万元，其他交通费用28.89万元</w:t>
      </w:r>
      <w:r>
        <w:rPr>
          <w:rFonts w:hint="eastAsia" w:ascii="仿宋_GB2312" w:hAnsi="仿宋_GB2312" w:eastAsia="仿宋_GB2312" w:cs="仿宋_GB2312"/>
          <w:sz w:val="32"/>
          <w:szCs w:val="32"/>
        </w:rPr>
        <w:t>。</w:t>
      </w:r>
      <w:r>
        <w:rPr>
          <w:rFonts w:hint="eastAsia" w:ascii="仿宋" w:hAnsi="仿宋" w:eastAsia="仿宋" w:cs="仿宋"/>
          <w:color w:val="000000"/>
          <w:sz w:val="32"/>
          <w:szCs w:val="32"/>
          <w:lang w:eastAsia="zh-CN"/>
        </w:rPr>
        <w:t>比</w:t>
      </w:r>
      <w:r>
        <w:rPr>
          <w:rFonts w:hint="eastAsia" w:ascii="仿宋" w:hAnsi="仿宋" w:eastAsia="仿宋" w:cs="仿宋"/>
          <w:color w:val="000000"/>
          <w:sz w:val="32"/>
          <w:szCs w:val="32"/>
          <w:lang w:val="en-US" w:eastAsia="zh-CN"/>
        </w:rPr>
        <w:t>2021年单位</w:t>
      </w:r>
      <w:r>
        <w:rPr>
          <w:rFonts w:hint="eastAsia" w:ascii="仿宋" w:hAnsi="仿宋" w:eastAsia="仿宋" w:cs="仿宋"/>
          <w:color w:val="000000"/>
          <w:sz w:val="32"/>
          <w:szCs w:val="32"/>
        </w:rPr>
        <w:t>机关运行经费</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12.51</w:t>
      </w:r>
      <w:r>
        <w:rPr>
          <w:rFonts w:hint="eastAsia" w:ascii="仿宋" w:hAnsi="仿宋" w:eastAsia="仿宋" w:cs="仿宋"/>
          <w:color w:val="000000"/>
          <w:sz w:val="32"/>
          <w:szCs w:val="32"/>
          <w:lang w:eastAsia="zh-CN"/>
        </w:rPr>
        <w:t>万元，原因是：</w:t>
      </w:r>
      <w:r>
        <w:rPr>
          <w:rFonts w:hint="eastAsia" w:ascii="仿宋_GB2312" w:hAnsi="仿宋_GB2312" w:eastAsia="仿宋_GB2312" w:cs="仿宋_GB2312"/>
          <w:sz w:val="32"/>
          <w:szCs w:val="32"/>
          <w:lang w:eastAsia="zh-CN"/>
        </w:rPr>
        <w:t>乡镇事业人员发放了交通补贴</w:t>
      </w:r>
      <w:r>
        <w:rPr>
          <w:rFonts w:hint="eastAsia" w:ascii="仿宋" w:hAnsi="仿宋" w:eastAsia="仿宋" w:cs="仿宋"/>
          <w:color w:val="000000"/>
          <w:sz w:val="32"/>
          <w:szCs w:val="32"/>
          <w:lang w:val="en-US" w:eastAsia="zh-CN"/>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三公经费增减变化及原因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三公经费</w:t>
      </w:r>
      <w:r>
        <w:rPr>
          <w:rFonts w:hint="eastAsia" w:ascii="仿宋" w:hAnsi="仿宋" w:eastAsia="仿宋" w:cs="仿宋"/>
          <w:color w:val="000000"/>
          <w:sz w:val="32"/>
          <w:szCs w:val="32"/>
        </w:rPr>
        <w:t>预算共</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公务接待费为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w:t>
      </w:r>
      <w:r>
        <w:rPr>
          <w:rFonts w:hint="eastAsia" w:ascii="仿宋_GB2312" w:eastAsia="仿宋_GB2312"/>
          <w:sz w:val="32"/>
          <w:szCs w:val="32"/>
        </w:rPr>
        <w:t>减少</w:t>
      </w:r>
      <w:r>
        <w:rPr>
          <w:rFonts w:hint="eastAsia" w:ascii="仿宋_GB2312" w:eastAsia="仿宋_GB2312"/>
          <w:sz w:val="32"/>
          <w:szCs w:val="32"/>
          <w:lang w:val="en-US" w:eastAsia="zh-CN"/>
        </w:rPr>
        <w:t>0.5</w:t>
      </w:r>
      <w:r>
        <w:rPr>
          <w:rFonts w:hint="eastAsia" w:ascii="仿宋" w:hAnsi="仿宋" w:eastAsia="仿宋" w:cs="仿宋"/>
          <w:color w:val="000000"/>
          <w:sz w:val="32"/>
          <w:szCs w:val="32"/>
          <w:lang w:val="en-US" w:eastAsia="zh-CN"/>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公务用车运行维护费年初预算为</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较上年无变化</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公务用车购置</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万元，保有量为</w:t>
      </w:r>
      <w:r>
        <w:rPr>
          <w:rFonts w:hint="eastAsia" w:ascii="仿宋" w:hAnsi="仿宋" w:eastAsia="仿宋" w:cs="仿宋"/>
          <w:color w:val="000000"/>
          <w:sz w:val="32"/>
          <w:szCs w:val="32"/>
          <w:lang w:val="en-US" w:eastAsia="zh-CN"/>
        </w:rPr>
        <w:t>1辆，</w:t>
      </w:r>
      <w:r>
        <w:rPr>
          <w:rFonts w:hint="eastAsia" w:ascii="仿宋" w:hAnsi="仿宋" w:eastAsia="仿宋" w:cs="仿宋"/>
          <w:color w:val="000000"/>
          <w:sz w:val="32"/>
          <w:szCs w:val="32"/>
          <w:lang w:eastAsia="zh-CN"/>
        </w:rPr>
        <w:t>较上年无变化</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因公出国境费用预算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较上年无变化</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ab/>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政府采购预算情况说明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政府采购预算</w:t>
      </w:r>
      <w:r>
        <w:rPr>
          <w:rFonts w:hint="eastAsia" w:ascii="仿宋_GB2312" w:hAnsi="仿宋_GB2312" w:eastAsia="仿宋_GB2312" w:cs="仿宋_GB2312"/>
          <w:sz w:val="32"/>
          <w:szCs w:val="32"/>
          <w:lang w:val="en-US" w:eastAsia="zh-CN"/>
        </w:rPr>
        <w:t>20.88</w:t>
      </w:r>
      <w:r>
        <w:rPr>
          <w:rFonts w:hint="eastAsia" w:ascii="仿宋" w:hAnsi="仿宋" w:eastAsia="仿宋" w:cs="仿宋"/>
          <w:color w:val="000000"/>
          <w:sz w:val="32"/>
          <w:szCs w:val="32"/>
          <w:lang w:val="en-US" w:eastAsia="zh-CN"/>
        </w:rPr>
        <w:t>万元，其中：1、货物类</w:t>
      </w:r>
      <w:r>
        <w:rPr>
          <w:rFonts w:hint="eastAsia" w:ascii="仿宋_GB2312" w:hAnsi="仿宋_GB2312" w:eastAsia="仿宋_GB2312" w:cs="仿宋_GB2312"/>
          <w:sz w:val="32"/>
          <w:szCs w:val="32"/>
          <w:lang w:val="en-US" w:eastAsia="zh-CN"/>
        </w:rPr>
        <w:t>7.38</w:t>
      </w:r>
      <w:r>
        <w:rPr>
          <w:rFonts w:hint="eastAsia" w:ascii="仿宋" w:hAnsi="仿宋" w:eastAsia="仿宋" w:cs="仿宋"/>
          <w:color w:val="000000"/>
          <w:sz w:val="32"/>
          <w:szCs w:val="32"/>
          <w:lang w:val="en-US" w:eastAsia="zh-CN"/>
        </w:rPr>
        <w:t>万元，包括办公设备购置5.43万元，专用设备购置0.95万元；2、工程类0万元；3、服务类</w:t>
      </w:r>
      <w:r>
        <w:rPr>
          <w:rFonts w:hint="eastAsia" w:ascii="仿宋_GB2312" w:hAnsi="仿宋_GB2312" w:eastAsia="仿宋_GB2312" w:cs="仿宋_GB2312"/>
          <w:sz w:val="32"/>
          <w:szCs w:val="32"/>
          <w:lang w:val="en-US" w:eastAsia="zh-CN"/>
        </w:rPr>
        <w:t>13.5</w:t>
      </w:r>
      <w:r>
        <w:rPr>
          <w:rFonts w:hint="eastAsia" w:ascii="仿宋" w:hAnsi="仿宋" w:eastAsia="仿宋" w:cs="仿宋"/>
          <w:color w:val="000000"/>
          <w:sz w:val="32"/>
          <w:szCs w:val="32"/>
          <w:lang w:val="en-US" w:eastAsia="zh-CN"/>
        </w:rPr>
        <w:t>万元，其中印刷服务11万元 ，车辆维修保养服务0.88万元，互联网接入服务1万元、加油服务0.5万元等。</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200" w:firstLine="320" w:firstLineChars="1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六、行政事业单位国有资产使用占用情况</w:t>
      </w:r>
      <w:r>
        <w:rPr>
          <w:rFonts w:hint="eastAsia" w:ascii="黑体" w:hAnsi="黑体" w:eastAsia="黑体" w:cs="黑体"/>
          <w:b w:val="0"/>
          <w:bCs w:val="0"/>
          <w:color w:val="000000"/>
          <w:sz w:val="32"/>
          <w:szCs w:val="32"/>
        </w:rPr>
        <w:t>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本单位国有资产总计</w:t>
      </w:r>
      <w:r>
        <w:rPr>
          <w:rFonts w:hint="eastAsia" w:ascii="仿宋" w:hAnsi="仿宋" w:eastAsia="仿宋"/>
          <w:sz w:val="32"/>
          <w:szCs w:val="32"/>
          <w:lang w:val="en-US" w:eastAsia="zh-CN"/>
        </w:rPr>
        <w:t>717.17</w:t>
      </w:r>
      <w:r>
        <w:rPr>
          <w:rFonts w:hint="eastAsia" w:ascii="仿宋" w:hAnsi="仿宋" w:eastAsia="仿宋" w:cs="仿宋"/>
          <w:color w:val="000000"/>
          <w:sz w:val="32"/>
          <w:szCs w:val="32"/>
          <w:lang w:val="en-US" w:eastAsia="zh-CN"/>
        </w:rPr>
        <w:t>万元，其中房屋价值</w:t>
      </w:r>
      <w:r>
        <w:rPr>
          <w:rFonts w:hint="eastAsia" w:ascii="仿宋" w:hAnsi="仿宋" w:eastAsia="仿宋"/>
          <w:sz w:val="32"/>
          <w:szCs w:val="32"/>
          <w:lang w:val="en-US" w:eastAsia="zh-CN"/>
        </w:rPr>
        <w:t>660.56</w:t>
      </w:r>
      <w:r>
        <w:rPr>
          <w:rFonts w:hint="eastAsia" w:ascii="仿宋" w:hAnsi="仿宋" w:eastAsia="仿宋" w:cs="仿宋"/>
          <w:color w:val="000000"/>
          <w:sz w:val="32"/>
          <w:szCs w:val="32"/>
          <w:lang w:val="en-US" w:eastAsia="zh-CN"/>
        </w:rPr>
        <w:t>万元，车辆1辆，价值</w:t>
      </w:r>
      <w:r>
        <w:rPr>
          <w:rFonts w:hint="eastAsia" w:ascii="仿宋" w:hAnsi="仿宋" w:eastAsia="仿宋"/>
          <w:sz w:val="32"/>
          <w:szCs w:val="32"/>
          <w:lang w:val="en-US" w:eastAsia="zh-CN"/>
        </w:rPr>
        <w:t>15.93</w:t>
      </w:r>
      <w:r>
        <w:rPr>
          <w:rFonts w:hint="eastAsia" w:ascii="仿宋" w:hAnsi="仿宋" w:eastAsia="仿宋" w:cs="仿宋"/>
          <w:color w:val="000000"/>
          <w:sz w:val="32"/>
          <w:szCs w:val="32"/>
          <w:lang w:val="en-US" w:eastAsia="zh-CN"/>
        </w:rPr>
        <w:t>万元，其他固定资产（办公桌椅、电脑设备等）40.68万元。</w:t>
      </w:r>
    </w:p>
    <w:p>
      <w:pPr>
        <w:pStyle w:val="4"/>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项目绩效目标情况说明</w:t>
      </w:r>
    </w:p>
    <w:p>
      <w:pPr>
        <w:ind w:firstLine="627" w:firstLineChars="196"/>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本单位</w:t>
      </w:r>
      <w:r>
        <w:rPr>
          <w:rFonts w:hint="eastAsia" w:ascii="仿宋_GB2312" w:hAnsi="仿宋_GB2312" w:eastAsia="仿宋_GB2312" w:cs="仿宋_GB2312"/>
          <w:sz w:val="32"/>
          <w:szCs w:val="32"/>
          <w:lang w:val="en-US" w:eastAsia="zh-CN"/>
        </w:rPr>
        <w:t>农村经济管理经费</w:t>
      </w:r>
      <w:r>
        <w:rPr>
          <w:rFonts w:hint="eastAsia" w:ascii="仿宋" w:hAnsi="仿宋" w:eastAsia="仿宋" w:cs="仿宋"/>
          <w:color w:val="000000"/>
          <w:sz w:val="32"/>
          <w:szCs w:val="32"/>
          <w:lang w:val="en-US" w:eastAsia="zh-CN"/>
        </w:rPr>
        <w:t>项目，资金额1万元，绩效目标为：</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目标1：宣传和落实中央和省政府以及市委、市政府关于农村经济管理的有关要求。</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目标2：开展农村三资管理工作。</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目标3：开展农村土地确权工作。</w:t>
      </w:r>
    </w:p>
    <w:p>
      <w:pPr>
        <w:ind w:firstLine="627" w:firstLineChars="196"/>
        <w:rPr>
          <w:rFonts w:hint="eastAsia" w:ascii="仿宋" w:hAnsi="仿宋" w:eastAsia="仿宋" w:cs="仿宋"/>
          <w:color w:val="000000"/>
          <w:sz w:val="32"/>
          <w:szCs w:val="32"/>
          <w:lang w:val="en-US" w:eastAsia="zh-CN"/>
        </w:rPr>
      </w:pPr>
      <w:r>
        <w:rPr>
          <w:rFonts w:hint="eastAsia" w:ascii="仿宋_GB2312" w:hAnsi="仿宋_GB2312" w:eastAsia="仿宋_GB2312" w:cs="仿宋_GB2312"/>
          <w:sz w:val="32"/>
          <w:szCs w:val="32"/>
        </w:rPr>
        <w:t>目标4：开展农村产权制度改革工作。</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财政拨款收入：本级财政部门当年拨付的财政预算资金，包括公共预算财政拨款和政府性基金预算财政拨款。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基本支出：是预算单位为保障其正常运转，完成日常工作任务所发生的支出，包括人员支出和日常公用支出。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项目支出：是预算单位为完成其特定的行政工作任务或事业发展目标所发生的支出。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三公经费：公务接待费，公务用车购置运行维护费和因公出国（境）费。</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sz w:val="32"/>
          <w:szCs w:val="32"/>
          <w:lang w:eastAsia="zh-CN"/>
        </w:rPr>
        <w:t>机关运行经费：指行政单位和参照公务员法管理的事业单位使用一般公共预算安排的基本支出中的日常公用经费支出。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kern w:val="2"/>
          <w:sz w:val="32"/>
          <w:szCs w:val="32"/>
          <w:lang w:val="en-US" w:eastAsia="zh-CN" w:bidi="ar-SA"/>
        </w:rPr>
        <w:t>6、本单位项目支出专业性名词解释：无</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见附表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rPr>
          <w:rFonts w:hint="eastAsia" w:ascii="仿宋" w:hAnsi="仿宋" w:eastAsia="仿宋" w:cs="仿宋"/>
          <w:color w:val="0000FF"/>
          <w:sz w:val="32"/>
          <w:szCs w:val="32"/>
          <w:lang w:val="en-US" w:eastAsia="zh-CN"/>
        </w:rPr>
      </w:pPr>
    </w:p>
    <w:p>
      <w:pPr>
        <w:rPr>
          <w:rFonts w:hint="eastAsia" w:ascii="仿宋" w:hAnsi="仿宋" w:eastAsia="仿宋" w:cs="仿宋"/>
          <w:color w:val="0000FF"/>
          <w:sz w:val="32"/>
          <w:szCs w:val="32"/>
          <w:lang w:val="en-US" w:eastAsia="zh-CN"/>
        </w:rPr>
      </w:pPr>
    </w:p>
    <w:p>
      <w:pPr>
        <w:rPr>
          <w:rFonts w:hint="eastAsia" w:ascii="仿宋" w:hAnsi="仿宋" w:eastAsia="仿宋" w:cs="仿宋"/>
          <w:color w:val="0000FF"/>
          <w:sz w:val="32"/>
          <w:szCs w:val="32"/>
          <w:lang w:val="en-US" w:eastAsia="zh-CN"/>
        </w:rPr>
      </w:pPr>
      <w:r>
        <w:rPr>
          <w:rFonts w:hint="eastAsia" w:ascii="仿宋" w:hAnsi="仿宋" w:eastAsia="仿宋" w:cs="仿宋"/>
          <w:color w:val="0000FF"/>
          <w:sz w:val="32"/>
          <w:szCs w:val="32"/>
          <w:lang w:val="en-US" w:eastAsia="zh-CN"/>
        </w:rPr>
        <w:br w:type="page"/>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sectPr>
          <w:pgSz w:w="11906" w:h="16838"/>
          <w:pgMar w:top="1440" w:right="1800" w:bottom="1440" w:left="1800" w:header="851" w:footer="992" w:gutter="0"/>
          <w:cols w:space="425" w:num="1"/>
          <w:docGrid w:type="lines" w:linePitch="312" w:charSpace="0"/>
        </w:sectPr>
      </w:pPr>
    </w:p>
    <w:tbl>
      <w:tblPr>
        <w:tblStyle w:val="5"/>
        <w:tblW w:w="1315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4"/>
        <w:gridCol w:w="359"/>
        <w:gridCol w:w="75"/>
        <w:gridCol w:w="179"/>
        <w:gridCol w:w="254"/>
        <w:gridCol w:w="283"/>
        <w:gridCol w:w="507"/>
        <w:gridCol w:w="284"/>
        <w:gridCol w:w="521"/>
        <w:gridCol w:w="149"/>
        <w:gridCol w:w="90"/>
        <w:gridCol w:w="746"/>
        <w:gridCol w:w="811"/>
        <w:gridCol w:w="113"/>
        <w:gridCol w:w="298"/>
        <w:gridCol w:w="598"/>
        <w:gridCol w:w="214"/>
        <w:gridCol w:w="596"/>
        <w:gridCol w:w="183"/>
        <w:gridCol w:w="100"/>
        <w:gridCol w:w="537"/>
        <w:gridCol w:w="313"/>
        <w:gridCol w:w="30"/>
        <w:gridCol w:w="180"/>
        <w:gridCol w:w="631"/>
        <w:gridCol w:w="242"/>
        <w:gridCol w:w="503"/>
        <w:gridCol w:w="89"/>
        <w:gridCol w:w="30"/>
        <w:gridCol w:w="149"/>
        <w:gridCol w:w="167"/>
        <w:gridCol w:w="683"/>
        <w:gridCol w:w="258"/>
        <w:gridCol w:w="30"/>
        <w:gridCol w:w="463"/>
        <w:gridCol w:w="160"/>
        <w:gridCol w:w="811"/>
        <w:gridCol w:w="55"/>
        <w:gridCol w:w="402"/>
        <w:gridCol w:w="118"/>
        <w:gridCol w:w="1029"/>
        <w:gridCol w:w="45"/>
        <w:gridCol w:w="179"/>
        <w:gridCol w:w="75"/>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gridSpan w:val="10"/>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84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44"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74"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040" w:type="dxa"/>
            <w:gridSpan w:val="7"/>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44" w:type="dxa"/>
            <w:gridSpan w:val="5"/>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2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242" w:type="dxa"/>
            <w:gridSpan w:val="7"/>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66"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13155" w:type="dxa"/>
            <w:gridSpan w:val="4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0" w:type="dxa"/>
            <w:gridSpan w:val="10"/>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40"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44"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74"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040" w:type="dxa"/>
            <w:gridSpan w:val="7"/>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44" w:type="dxa"/>
            <w:gridSpan w:val="5"/>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29"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242" w:type="dxa"/>
            <w:gridSpan w:val="7"/>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366"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3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6521"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60"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5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预算数</w:t>
            </w:r>
          </w:p>
        </w:tc>
        <w:tc>
          <w:tcPr>
            <w:tcW w:w="204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481"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6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w:t>
            </w:r>
          </w:p>
        </w:tc>
        <w:tc>
          <w:tcPr>
            <w:tcW w:w="17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w:t>
            </w:r>
          </w:p>
        </w:tc>
        <w:tc>
          <w:tcPr>
            <w:tcW w:w="9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2022年比2021年</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增减%</w:t>
            </w:r>
          </w:p>
        </w:tc>
        <w:tc>
          <w:tcPr>
            <w:tcW w:w="204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w:t>
            </w:r>
          </w:p>
        </w:tc>
        <w:tc>
          <w:tcPr>
            <w:tcW w:w="217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w:t>
            </w:r>
          </w:p>
        </w:tc>
        <w:tc>
          <w:tcPr>
            <w:tcW w:w="136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2022年比2021年增减%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06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6"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其中：财政拨款</w:t>
            </w:r>
          </w:p>
        </w:tc>
        <w:tc>
          <w:tcPr>
            <w:tcW w:w="9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29"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其中：财政</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拨款</w:t>
            </w:r>
          </w:p>
        </w:tc>
        <w:tc>
          <w:tcPr>
            <w:tcW w:w="136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777.49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468.07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488.76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488.76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53.90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57.97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57.97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73.00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农林水事务</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195.77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180.28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180.28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4.99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4.99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4.99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二、纳入预算管理的政府性基金</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35.52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33.69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33.69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三、纳入财政专户管理的事业收入</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19.24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18.70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18.70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四、其他收入</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0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777.49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20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777.49 </w:t>
            </w:r>
          </w:p>
        </w:tc>
        <w:tc>
          <w:tcPr>
            <w:tcW w:w="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12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867.40 </w:t>
            </w:r>
          </w:p>
        </w:tc>
        <w:tc>
          <w:tcPr>
            <w:tcW w:w="13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224" w:hRule="atLeast"/>
        </w:trPr>
        <w:tc>
          <w:tcPr>
            <w:tcW w:w="79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9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9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065" w:type="dxa"/>
            <w:gridSpan w:val="10"/>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50" w:type="dxa"/>
            <w:gridSpan w:val="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0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75"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95"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55"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353" w:hRule="atLeast"/>
        </w:trPr>
        <w:tc>
          <w:tcPr>
            <w:tcW w:w="13125" w:type="dxa"/>
            <w:gridSpan w:val="4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300" w:hRule="atLeast"/>
        </w:trPr>
        <w:tc>
          <w:tcPr>
            <w:tcW w:w="7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5" w:type="dxa"/>
            <w:gridSpan w:val="10"/>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55"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230" w:hRule="atLeast"/>
        </w:trPr>
        <w:tc>
          <w:tcPr>
            <w:tcW w:w="645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6675"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740" w:hRule="atLeast"/>
        </w:trPr>
        <w:tc>
          <w:tcPr>
            <w:tcW w:w="23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w:t>
            </w: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财政专户管理资金</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trHeight w:val="450"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281.15</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其他政府办公厅（室）及相关机构事务支出</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其他人力资源和社会保障管理事务支出</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农村环境保护</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对村民委员会和村党支部的补助</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对村集体经济组织的补助</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 w:type="dxa"/>
          <w:cantSplit/>
          <w:trHeight w:val="369" w:hRule="exac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7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0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13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trHeight w:val="269" w:hRule="atLeast"/>
        </w:trPr>
        <w:tc>
          <w:tcPr>
            <w:tcW w:w="1050"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50"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50"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125" w:type="dxa"/>
            <w:gridSpan w:val="10"/>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05" w:type="dxa"/>
            <w:gridSpan w:val="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30" w:type="dxa"/>
            <w:gridSpan w:val="8"/>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15" w:type="dxa"/>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trHeight w:val="655" w:hRule="atLeast"/>
        </w:trPr>
        <w:tc>
          <w:tcPr>
            <w:tcW w:w="12825" w:type="dxa"/>
            <w:gridSpan w:val="4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trHeight w:val="300" w:hRule="atLeast"/>
        </w:trPr>
        <w:tc>
          <w:tcPr>
            <w:tcW w:w="1050"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0"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0"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25" w:type="dxa"/>
            <w:gridSpan w:val="10"/>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05"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0" w:type="dxa"/>
            <w:gridSpan w:val="8"/>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15" w:type="dxa"/>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trHeight w:val="230" w:hRule="atLeast"/>
        </w:trPr>
        <w:tc>
          <w:tcPr>
            <w:tcW w:w="7275"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50"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trHeight w:val="450" w:hRule="atLeast"/>
        </w:trPr>
        <w:tc>
          <w:tcPr>
            <w:tcW w:w="3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515.29</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281.15</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255.21</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其他政府办公厅（室）及相关机构事务支出</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其他人力资源和社会保障管理事务支出</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农村环境保护</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对村民委员会和村党支部的补助</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对村集体经济组织的补助</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30" w:type="dxa"/>
          <w:cantSplit/>
          <w:trHeight w:val="397" w:hRule="exact"/>
        </w:trPr>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1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8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300" w:hRule="atLeast"/>
        </w:trPr>
        <w:tc>
          <w:tcPr>
            <w:tcW w:w="291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2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60" w:type="dxa"/>
            <w:gridSpan w:val="8"/>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80" w:type="dxa"/>
            <w:gridSpan w:val="6"/>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995" w:type="dxa"/>
            <w:gridSpan w:val="10"/>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605"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1000" w:hRule="atLeast"/>
        </w:trPr>
        <w:tc>
          <w:tcPr>
            <w:tcW w:w="12870" w:type="dxa"/>
            <w:gridSpan w:val="4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300" w:hRule="atLeast"/>
        </w:trPr>
        <w:tc>
          <w:tcPr>
            <w:tcW w:w="2910" w:type="dxa"/>
            <w:gridSpan w:val="9"/>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2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60" w:type="dxa"/>
            <w:gridSpan w:val="8"/>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80" w:type="dxa"/>
            <w:gridSpan w:val="6"/>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995" w:type="dxa"/>
            <w:gridSpan w:val="10"/>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605"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20" w:hRule="atLeast"/>
        </w:trPr>
        <w:tc>
          <w:tcPr>
            <w:tcW w:w="4830"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8040" w:type="dxa"/>
            <w:gridSpan w:val="2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20" w:hRule="atLeast"/>
        </w:trPr>
        <w:tc>
          <w:tcPr>
            <w:tcW w:w="291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92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276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280" w:type="dxa"/>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20" w:hRule="atLeast"/>
        </w:trPr>
        <w:tc>
          <w:tcPr>
            <w:tcW w:w="291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92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76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468.07</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488.76</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57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二、纳入预算管理的政府性基金</w:t>
            </w: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53.90</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57.97</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18.70 </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180.28</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180.28</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85" w:type="dxa"/>
          <w:trHeight w:val="450" w:hRule="atLeast"/>
        </w:trPr>
        <w:tc>
          <w:tcPr>
            <w:tcW w:w="29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27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6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9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6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trHeight w:val="300" w:hRule="atLeast"/>
        </w:trPr>
        <w:tc>
          <w:tcPr>
            <w:tcW w:w="43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3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3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25" w:type="dxa"/>
            <w:gridSpan w:val="10"/>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2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85"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85"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1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20"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5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5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90" w:type="dxa"/>
            <w:gridSpan w:val="7"/>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trHeight w:val="700" w:hRule="atLeast"/>
        </w:trPr>
        <w:tc>
          <w:tcPr>
            <w:tcW w:w="13050" w:type="dxa"/>
            <w:gridSpan w:val="4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东垆乡人民政府2022年一般预算支出预算表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trHeight w:val="300" w:hRule="atLeast"/>
        </w:trPr>
        <w:tc>
          <w:tcPr>
            <w:tcW w:w="4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825" w:type="dxa"/>
            <w:gridSpan w:val="10"/>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2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85"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85"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0" w:type="dxa"/>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5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40" w:type="dxa"/>
            <w:gridSpan w:val="6"/>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trHeight w:val="580" w:hRule="atLeast"/>
        </w:trPr>
        <w:tc>
          <w:tcPr>
            <w:tcW w:w="5130"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4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2021年预算数</w:t>
            </w:r>
          </w:p>
        </w:tc>
        <w:tc>
          <w:tcPr>
            <w:tcW w:w="26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c>
          <w:tcPr>
            <w:tcW w:w="274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2022年预算数比2021年预算数增减%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trHeight w:val="450" w:hRule="atLeast"/>
        </w:trPr>
        <w:tc>
          <w:tcPr>
            <w:tcW w:w="1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855" w:type="dxa"/>
            <w:gridSpan w:val="4"/>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1840" w:type="dxa"/>
            <w:gridSpan w:val="6"/>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777.49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516.09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867.40</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515.29</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352.11</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11.56%</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283.28</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256.10</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27.18</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281.15</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255.21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25.95</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157.87</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157.87</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162.77</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其他政府办公厅（室）及相关机构事务支出</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66.59%</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其他人力资源和社会保障管理事务支出</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47.36</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47.36</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422.69%</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行政单位医疗</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19.24</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农村环境保护</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23.18</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23.18</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25.88%</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对村民委员会和村党支部的补助</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149.97</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149.97</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98.57</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-34.27%</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对村集体经济组织的补助</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52.52</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132.20%</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33.69</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5" w:type="dxa"/>
          <w:cantSplit/>
          <w:trHeight w:val="340" w:hRule="exac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82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0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8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tbl>
      <w:tblPr>
        <w:tblStyle w:val="5"/>
        <w:tblW w:w="907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35"/>
        <w:gridCol w:w="361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0" w:hRule="exact"/>
        </w:trPr>
        <w:tc>
          <w:tcPr>
            <w:tcW w:w="313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6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95" w:hRule="exact"/>
        </w:trPr>
        <w:tc>
          <w:tcPr>
            <w:tcW w:w="907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6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部门预算经济科目名称</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    计</w:t>
            </w:r>
          </w:p>
        </w:tc>
        <w:tc>
          <w:tcPr>
            <w:tcW w:w="3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515.29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一、工资福利支出</w:t>
            </w:r>
          </w:p>
        </w:tc>
        <w:tc>
          <w:tcPr>
            <w:tcW w:w="3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446.61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165.71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128.64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44.92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18.25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1.73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33.69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二、商品和服务支出</w:t>
            </w:r>
          </w:p>
        </w:tc>
        <w:tc>
          <w:tcPr>
            <w:tcW w:w="3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56.13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8.59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0.15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0.50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2.67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2.67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28.89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三、对个人和家庭的补助</w:t>
            </w:r>
          </w:p>
        </w:tc>
        <w:tc>
          <w:tcPr>
            <w:tcW w:w="3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9.20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6.61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0.13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0.42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四、资本性支出</w:t>
            </w:r>
          </w:p>
        </w:tc>
        <w:tc>
          <w:tcPr>
            <w:tcW w:w="3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3.35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3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0.95 </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sectPr>
          <w:pgSz w:w="11906" w:h="16838"/>
          <w:pgMar w:top="1440" w:right="1803" w:bottom="1440" w:left="1803" w:header="851" w:footer="992" w:gutter="0"/>
          <w:cols w:space="0" w:num="1"/>
          <w:rtlGutter w:val="0"/>
          <w:docGrid w:type="lines" w:linePitch="319" w:charSpace="0"/>
        </w:sectPr>
      </w:pPr>
    </w:p>
    <w:tbl>
      <w:tblPr>
        <w:tblStyle w:val="5"/>
        <w:tblW w:w="12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20"/>
        <w:gridCol w:w="6060"/>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06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8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tbl>
      <w:tblPr>
        <w:tblStyle w:val="5"/>
        <w:tblW w:w="12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5"/>
        <w:gridCol w:w="3630"/>
        <w:gridCol w:w="2775"/>
        <w:gridCol w:w="261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63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7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6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7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7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rPr>
          <w:rFonts w:hint="eastAsia" w:ascii="仿宋" w:hAnsi="仿宋" w:eastAsia="仿宋" w:cs="仿宋"/>
          <w:color w:val="0000FF"/>
          <w:sz w:val="32"/>
          <w:szCs w:val="32"/>
          <w:lang w:val="en-US" w:eastAsia="zh-CN"/>
        </w:rPr>
      </w:pPr>
      <w:r>
        <w:rPr>
          <w:rFonts w:hint="eastAsia" w:ascii="仿宋" w:hAnsi="仿宋" w:eastAsia="仿宋" w:cs="仿宋"/>
          <w:color w:val="0000FF"/>
          <w:sz w:val="32"/>
          <w:szCs w:val="32"/>
          <w:lang w:val="en-US" w:eastAsia="zh-CN"/>
        </w:rPr>
        <w:br w:type="page"/>
      </w:r>
    </w:p>
    <w:tbl>
      <w:tblPr>
        <w:tblStyle w:val="5"/>
        <w:tblW w:w="12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0"/>
        <w:gridCol w:w="5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2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tbl>
      <w:tblPr>
        <w:tblStyle w:val="5"/>
        <w:tblW w:w="13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20"/>
        <w:gridCol w:w="8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08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芮城县东垆乡人民政府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59.48 </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p>
    <w:tbl>
      <w:tblPr>
        <w:tblStyle w:val="5"/>
        <w:tblW w:w="129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3510"/>
        <w:gridCol w:w="3090"/>
        <w:gridCol w:w="810"/>
        <w:gridCol w:w="1080"/>
        <w:gridCol w:w="1050"/>
        <w:gridCol w:w="117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5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0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东垆乡人民政府2022年政府采购预算表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8" w:hRule="exac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部门支出经济分类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政府采购品目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采购金额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是否面向中小企业采购</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是否面向小微企业采购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A020201-复印机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A0603-椅凳类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C050302-车辆加油服务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C15040201-机动车保险服务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31003-专用设备购置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A0206180203-空调机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31003-专用设备购置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A020699-其他电气设备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C050301-车辆维修和保养服务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A02010104-台式计算机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C030102-增值电信服务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C081401-印刷服务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C081401-印刷服务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C081401-印刷服务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A02010104-台式计算机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A0601-床类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A0603-椅凳类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A0602-台、桌类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A0605-柜类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A0602-台、桌类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A0206180203-空调机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C081401-印刷服务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1-是</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rPr>
          <w:rFonts w:hint="eastAsia" w:ascii="宋体" w:hAnsi="宋体" w:eastAsia="宋体" w:cs="宋体"/>
          <w:i w:val="0"/>
          <w:iCs w:val="0"/>
          <w:color w:val="000000"/>
          <w:sz w:val="20"/>
          <w:szCs w:val="20"/>
          <w:u w:val="none"/>
        </w:rPr>
        <w:sectPr>
          <w:pgSz w:w="16838" w:h="11906" w:orient="landscape"/>
          <w:pgMar w:top="1803" w:right="1440" w:bottom="1803" w:left="1440" w:header="851" w:footer="992" w:gutter="0"/>
          <w:cols w:space="0" w:num="1"/>
          <w:rtlGutter w:val="0"/>
          <w:docGrid w:type="lines" w:linePitch="319" w:charSpace="0"/>
        </w:sectPr>
      </w:pPr>
    </w:p>
    <w:tbl>
      <w:tblPr>
        <w:tblStyle w:val="5"/>
        <w:tblW w:w="86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25"/>
        <w:gridCol w:w="5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4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64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东垆乡人民政府预算项目支出绩效目标信息公开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1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1" w:hRule="exact"/>
        </w:trPr>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1" w:hRule="exact"/>
        </w:trPr>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w:t>
            </w:r>
          </w:p>
        </w:tc>
        <w:tc>
          <w:tcPr>
            <w:tcW w:w="5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1" w:hRule="exact"/>
        </w:trPr>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5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芮城县东垆乡人民政府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1" w:hRule="exact"/>
        </w:trPr>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芮城县人民政府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1" w:hRule="exac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5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目标1：宣传和落实中央和省政府以及市委、市政府关于农村经济管理的有关要求。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目标2：开展农村三资管理工作。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目标3：开展农村土地确权工作。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目标4：开展农村产权制度改革工作。</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FF"/>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sz w:val="32"/>
          <w:szCs w:val="32"/>
        </w:rPr>
      </w:pPr>
      <w:r>
        <w:rPr>
          <w:rFonts w:hint="eastAsia" w:ascii="仿宋" w:hAnsi="仿宋" w:eastAsia="仿宋" w:cs="仿宋"/>
          <w:color w:val="000000"/>
          <w:sz w:val="32"/>
          <w:szCs w:val="32"/>
        </w:rPr>
        <w:t>  </w:t>
      </w:r>
    </w:p>
    <w:p>
      <w:pPr>
        <w:rPr>
          <w:rFonts w:hint="eastAsia" w:ascii="仿宋" w:hAnsi="仿宋" w:eastAsia="仿宋" w:cs="仿宋"/>
          <w:sz w:val="32"/>
          <w:szCs w:val="32"/>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E2D8A"/>
    <w:multiLevelType w:val="singleLevel"/>
    <w:tmpl w:val="C21E2D8A"/>
    <w:lvl w:ilvl="0" w:tentative="0">
      <w:start w:val="7"/>
      <w:numFmt w:val="chineseCounting"/>
      <w:suff w:val="nothing"/>
      <w:lvlText w:val="%1、"/>
      <w:lvlJc w:val="left"/>
      <w:rPr>
        <w:rFonts w:hint="eastAsia"/>
      </w:rPr>
    </w:lvl>
  </w:abstractNum>
  <w:abstractNum w:abstractNumId="1">
    <w:nsid w:val="CE1CA3D6"/>
    <w:multiLevelType w:val="singleLevel"/>
    <w:tmpl w:val="CE1CA3D6"/>
    <w:lvl w:ilvl="0" w:tentative="0">
      <w:start w:val="1"/>
      <w:numFmt w:val="chineseCounting"/>
      <w:suff w:val="nothing"/>
      <w:lvlText w:val="%1、"/>
      <w:lvlJc w:val="left"/>
      <w:rPr>
        <w:rFonts w:hint="eastAsia"/>
      </w:rPr>
    </w:lvl>
  </w:abstractNum>
  <w:abstractNum w:abstractNumId="2">
    <w:nsid w:val="E889F6AC"/>
    <w:multiLevelType w:val="singleLevel"/>
    <w:tmpl w:val="E889F6AC"/>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9AE"/>
    <w:rsid w:val="00793C02"/>
    <w:rsid w:val="009B3A4A"/>
    <w:rsid w:val="0219355B"/>
    <w:rsid w:val="02AA6259"/>
    <w:rsid w:val="02DD6C04"/>
    <w:rsid w:val="02FD2443"/>
    <w:rsid w:val="032C6DE6"/>
    <w:rsid w:val="03765A83"/>
    <w:rsid w:val="03E11E95"/>
    <w:rsid w:val="03E57FB7"/>
    <w:rsid w:val="03F45496"/>
    <w:rsid w:val="04173930"/>
    <w:rsid w:val="04292AE1"/>
    <w:rsid w:val="06326247"/>
    <w:rsid w:val="073A363C"/>
    <w:rsid w:val="091F377E"/>
    <w:rsid w:val="09DB4610"/>
    <w:rsid w:val="0A857E06"/>
    <w:rsid w:val="0AC16A1A"/>
    <w:rsid w:val="0B9C1DF2"/>
    <w:rsid w:val="0BAB7193"/>
    <w:rsid w:val="0D3D3AF9"/>
    <w:rsid w:val="1280528D"/>
    <w:rsid w:val="129D210C"/>
    <w:rsid w:val="13696155"/>
    <w:rsid w:val="13F16050"/>
    <w:rsid w:val="14E915A7"/>
    <w:rsid w:val="176B3BB1"/>
    <w:rsid w:val="195602EC"/>
    <w:rsid w:val="1A24077E"/>
    <w:rsid w:val="1D976C54"/>
    <w:rsid w:val="1FD66556"/>
    <w:rsid w:val="1FF453C2"/>
    <w:rsid w:val="20EA69AE"/>
    <w:rsid w:val="223254C9"/>
    <w:rsid w:val="2261135D"/>
    <w:rsid w:val="240A3DC2"/>
    <w:rsid w:val="26102B18"/>
    <w:rsid w:val="263270EF"/>
    <w:rsid w:val="263F171F"/>
    <w:rsid w:val="274101D9"/>
    <w:rsid w:val="27417044"/>
    <w:rsid w:val="281934FD"/>
    <w:rsid w:val="28A95248"/>
    <w:rsid w:val="29AE2F7C"/>
    <w:rsid w:val="29C449F0"/>
    <w:rsid w:val="2A111B95"/>
    <w:rsid w:val="2B80399D"/>
    <w:rsid w:val="2C606FB9"/>
    <w:rsid w:val="2D9A7E00"/>
    <w:rsid w:val="2DC869ED"/>
    <w:rsid w:val="2E25001E"/>
    <w:rsid w:val="2ECA066A"/>
    <w:rsid w:val="2F842EB3"/>
    <w:rsid w:val="2F8B6766"/>
    <w:rsid w:val="2F941E7D"/>
    <w:rsid w:val="306E719D"/>
    <w:rsid w:val="307345A8"/>
    <w:rsid w:val="30A35287"/>
    <w:rsid w:val="30B42127"/>
    <w:rsid w:val="31522908"/>
    <w:rsid w:val="325D43BE"/>
    <w:rsid w:val="34215DEB"/>
    <w:rsid w:val="34606467"/>
    <w:rsid w:val="34760D9A"/>
    <w:rsid w:val="347D0D6D"/>
    <w:rsid w:val="34D13F77"/>
    <w:rsid w:val="34E76980"/>
    <w:rsid w:val="352E095F"/>
    <w:rsid w:val="35C66F1A"/>
    <w:rsid w:val="366F1BBD"/>
    <w:rsid w:val="39795D7C"/>
    <w:rsid w:val="3AB05262"/>
    <w:rsid w:val="3D0E7DA8"/>
    <w:rsid w:val="3D2538F4"/>
    <w:rsid w:val="3E5237E1"/>
    <w:rsid w:val="3FF910DC"/>
    <w:rsid w:val="42706D41"/>
    <w:rsid w:val="42B77BD7"/>
    <w:rsid w:val="439D7EDF"/>
    <w:rsid w:val="43ED49A1"/>
    <w:rsid w:val="470C1388"/>
    <w:rsid w:val="47A5055A"/>
    <w:rsid w:val="484D79C3"/>
    <w:rsid w:val="499860EE"/>
    <w:rsid w:val="49EE758F"/>
    <w:rsid w:val="4C8813EF"/>
    <w:rsid w:val="4E2258B1"/>
    <w:rsid w:val="4EBD7BDC"/>
    <w:rsid w:val="4EF828A4"/>
    <w:rsid w:val="4F4E67C3"/>
    <w:rsid w:val="4F7755AF"/>
    <w:rsid w:val="4F9C3846"/>
    <w:rsid w:val="51373A67"/>
    <w:rsid w:val="52FD6F23"/>
    <w:rsid w:val="53717C06"/>
    <w:rsid w:val="537D7553"/>
    <w:rsid w:val="538D0DC1"/>
    <w:rsid w:val="557C1D07"/>
    <w:rsid w:val="55F52E0F"/>
    <w:rsid w:val="57D56EB3"/>
    <w:rsid w:val="57ED7CDD"/>
    <w:rsid w:val="57FC35B1"/>
    <w:rsid w:val="5A4E1930"/>
    <w:rsid w:val="5A896147"/>
    <w:rsid w:val="5B2F1272"/>
    <w:rsid w:val="5CEA1199"/>
    <w:rsid w:val="5DD27837"/>
    <w:rsid w:val="5ED25619"/>
    <w:rsid w:val="5FF22820"/>
    <w:rsid w:val="60537255"/>
    <w:rsid w:val="61186CA9"/>
    <w:rsid w:val="614316C0"/>
    <w:rsid w:val="633F7A1B"/>
    <w:rsid w:val="64FA5EE5"/>
    <w:rsid w:val="66115AFD"/>
    <w:rsid w:val="68395CC4"/>
    <w:rsid w:val="6927517D"/>
    <w:rsid w:val="69EC2908"/>
    <w:rsid w:val="6A3A384D"/>
    <w:rsid w:val="6B30521E"/>
    <w:rsid w:val="6BED7963"/>
    <w:rsid w:val="6CCE79AA"/>
    <w:rsid w:val="6CF55766"/>
    <w:rsid w:val="6CFD310B"/>
    <w:rsid w:val="6DB57D6A"/>
    <w:rsid w:val="6EEE3885"/>
    <w:rsid w:val="6F2E7C9E"/>
    <w:rsid w:val="6FB4197D"/>
    <w:rsid w:val="71392356"/>
    <w:rsid w:val="72DB227D"/>
    <w:rsid w:val="748877FB"/>
    <w:rsid w:val="75241F9B"/>
    <w:rsid w:val="76DA5E4B"/>
    <w:rsid w:val="772F2BAE"/>
    <w:rsid w:val="778F42BF"/>
    <w:rsid w:val="784B6837"/>
    <w:rsid w:val="787675A8"/>
    <w:rsid w:val="7A5A699F"/>
    <w:rsid w:val="7B4044A1"/>
    <w:rsid w:val="7B507C29"/>
    <w:rsid w:val="7BE210CE"/>
    <w:rsid w:val="7C292F4E"/>
    <w:rsid w:val="7D130ED2"/>
    <w:rsid w:val="7D313823"/>
    <w:rsid w:val="7D475069"/>
    <w:rsid w:val="7E1A3DFF"/>
    <w:rsid w:val="7E43000F"/>
    <w:rsid w:val="7F58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4628</Words>
  <Characters>6477</Characters>
  <Lines>0</Lines>
  <Paragraphs>0</Paragraphs>
  <TotalTime>17</TotalTime>
  <ScaleCrop>false</ScaleCrop>
  <LinksUpToDate>false</LinksUpToDate>
  <CharactersWithSpaces>6695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等不到天亮等时光</cp:lastModifiedBy>
  <cp:lastPrinted>2022-02-15T07:26:00Z</cp:lastPrinted>
  <dcterms:modified xsi:type="dcterms:W3CDTF">2022-03-28T10:51:56Z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3036485FC41D48388161957FC1D53723</vt:lpwstr>
  </property>
</Properties>
</file>