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rPr>
      </w:pPr>
      <w:r>
        <w:rPr>
          <w:rFonts w:hint="eastAsia" w:ascii="宋体" w:hAnsi="宋体" w:cs="宋体"/>
          <w:b/>
          <w:bCs/>
          <w:sz w:val="44"/>
          <w:szCs w:val="44"/>
        </w:rPr>
        <w:t>芮城县</w:t>
      </w:r>
      <w:r>
        <w:rPr>
          <w:rFonts w:hint="eastAsia" w:ascii="宋体" w:hAnsi="宋体" w:cs="宋体"/>
          <w:b/>
          <w:bCs/>
          <w:sz w:val="44"/>
          <w:szCs w:val="44"/>
          <w:lang w:eastAsia="zh-CN"/>
        </w:rPr>
        <w:t>林草发展中心</w:t>
      </w:r>
      <w:r>
        <w:rPr>
          <w:rFonts w:hint="eastAsia" w:ascii="宋体" w:hAnsi="宋体" w:cs="宋体"/>
          <w:b/>
          <w:bCs/>
          <w:sz w:val="44"/>
          <w:szCs w:val="44"/>
        </w:rPr>
        <w:t>202</w:t>
      </w:r>
      <w:r>
        <w:rPr>
          <w:rFonts w:hint="eastAsia" w:ascii="宋体" w:hAnsi="宋体" w:cs="宋体"/>
          <w:b/>
          <w:bCs/>
          <w:sz w:val="44"/>
          <w:szCs w:val="44"/>
          <w:lang w:val="en-US" w:eastAsia="zh-CN"/>
        </w:rPr>
        <w:t>2</w:t>
      </w:r>
      <w:r>
        <w:rPr>
          <w:rFonts w:hint="eastAsia" w:ascii="宋体" w:hAnsi="宋体" w:cs="宋体"/>
          <w:b/>
          <w:bCs/>
          <w:sz w:val="44"/>
          <w:szCs w:val="44"/>
        </w:rPr>
        <w:t>年</w:t>
      </w:r>
    </w:p>
    <w:p>
      <w:pPr>
        <w:spacing w:line="560" w:lineRule="exact"/>
        <w:jc w:val="center"/>
        <w:rPr>
          <w:rFonts w:ascii="黑体" w:hAnsi="黑体" w:eastAsia="黑体" w:cs="黑体"/>
          <w:color w:val="000000"/>
          <w:sz w:val="30"/>
          <w:szCs w:val="30"/>
        </w:rPr>
      </w:pPr>
      <w:r>
        <w:rPr>
          <w:rFonts w:hint="eastAsia" w:ascii="宋体" w:hAnsi="宋体" w:cs="宋体"/>
          <w:b/>
          <w:bCs/>
          <w:sz w:val="44"/>
          <w:szCs w:val="44"/>
          <w:lang w:eastAsia="zh-CN"/>
        </w:rPr>
        <w:t>单位</w:t>
      </w:r>
      <w:r>
        <w:rPr>
          <w:rFonts w:hint="eastAsia" w:ascii="宋体" w:hAnsi="宋体" w:cs="宋体"/>
          <w:b/>
          <w:bCs/>
          <w:sz w:val="44"/>
          <w:szCs w:val="44"/>
        </w:rPr>
        <w:t>预算公开说明</w:t>
      </w:r>
    </w:p>
    <w:p>
      <w:pPr>
        <w:pStyle w:val="6"/>
        <w:shd w:val="clear" w:color="auto" w:fill="FFFFFF"/>
        <w:spacing w:before="0" w:beforeAutospacing="0" w:after="0" w:afterAutospacing="0" w:line="560" w:lineRule="exact"/>
        <w:jc w:val="center"/>
        <w:rPr>
          <w:rFonts w:hint="eastAsia" w:ascii="黑体" w:hAnsi="黑体" w:eastAsia="黑体" w:cs="黑体"/>
          <w:color w:val="000000"/>
          <w:sz w:val="32"/>
          <w:szCs w:val="32"/>
          <w:lang w:eastAsia="zh-CN"/>
        </w:rPr>
      </w:pPr>
    </w:p>
    <w:p>
      <w:pPr>
        <w:pStyle w:val="6"/>
        <w:shd w:val="clear" w:color="auto" w:fill="FFFFFF"/>
        <w:spacing w:before="0" w:beforeAutospacing="0" w:after="0" w:afterAutospacing="0" w:line="56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第一部分</w:t>
      </w:r>
      <w:r>
        <w:rPr>
          <w:rFonts w:hint="eastAsia" w:ascii="黑体" w:hAnsi="黑体" w:eastAsia="黑体" w:cs="黑体"/>
          <w:color w:val="000000"/>
          <w:sz w:val="32"/>
          <w:szCs w:val="32"/>
          <w:lang w:val="en-US" w:eastAsia="zh-CN"/>
        </w:rPr>
        <w:t xml:space="preserve">  概况</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rPr>
      </w:pP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一、单位概况</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芮城县林草发展中心由</w:t>
      </w:r>
      <w:r>
        <w:rPr>
          <w:rFonts w:hint="eastAsia" w:ascii="仿宋_GB2312" w:hAnsi="仿宋_GB2312" w:eastAsia="仿宋_GB2312" w:cs="仿宋_GB2312"/>
          <w:sz w:val="32"/>
          <w:szCs w:val="32"/>
          <w:lang w:eastAsia="zh-CN"/>
        </w:rPr>
        <w:t>芮城县植树绿化中心、芮城县国有林场、芮城县国营汉渡苗圃、芮城县国营书院苗圃、芮城县国营阳院苗圃、芮城县林业技术推广站、芮城县百梯山风景名胜区服务中心</w:t>
      </w:r>
      <w:r>
        <w:rPr>
          <w:rFonts w:hint="eastAsia" w:ascii="仿宋_GB2312" w:hAnsi="仿宋_GB2312" w:eastAsia="仿宋_GB2312" w:cs="仿宋_GB2312"/>
          <w:sz w:val="32"/>
          <w:szCs w:val="32"/>
          <w:lang w:val="en-US" w:eastAsia="zh-CN"/>
        </w:rPr>
        <w:t>7个单位组建整合</w:t>
      </w:r>
      <w:r>
        <w:rPr>
          <w:rFonts w:hint="eastAsia" w:ascii="仿宋_GB2312" w:eastAsia="仿宋_GB2312"/>
          <w:color w:val="000000"/>
          <w:sz w:val="32"/>
          <w:szCs w:val="32"/>
          <w:lang w:val="en-US" w:eastAsia="zh-CN"/>
        </w:rPr>
        <w:t>，股级公益二类事业单位。在编人数41人，现实有人数41人，其中：全额事业人员35人,差额事业人员2人，自收自支事业人员4人。</w:t>
      </w:r>
    </w:p>
    <w:p>
      <w:pPr>
        <w:pStyle w:val="6"/>
        <w:numPr>
          <w:ilvl w:val="0"/>
          <w:numId w:val="1"/>
        </w:numPr>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主要职能</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芮城县林草发展中心 股级公益二类事业单位。主要职能：</w:t>
      </w:r>
      <w:bookmarkStart w:id="0" w:name="_GoBack"/>
      <w:bookmarkEnd w:id="0"/>
      <w:r>
        <w:rPr>
          <w:rFonts w:hint="eastAsia" w:ascii="仿宋_GB2312" w:eastAsia="仿宋_GB2312"/>
          <w:color w:val="000000"/>
          <w:sz w:val="32"/>
          <w:szCs w:val="32"/>
          <w:lang w:val="en-US" w:eastAsia="zh-CN"/>
        </w:rPr>
        <w:t>贯彻落实党中央、省委、市委、县委、县林业局关于林业工作的方针政策和决策部署，指导林业、草原、花椒等适用技术的应用和科技成果的推广；指导基层林草科技工作;根据全县林草建设任务，培育、提供所需各种优质苗木、草种;负责林木、草种的试验、示范和繁育工作;负责保护、开发国有林场、苗圃、森林资源和国有资源管理;负责林场、苗圃森林防火和森林、苗木，草种病虫害防治等工作。</w:t>
      </w:r>
    </w:p>
    <w:p>
      <w:pPr>
        <w:pStyle w:val="6"/>
        <w:shd w:val="clear" w:color="auto" w:fill="FFFFFF"/>
        <w:spacing w:before="0" w:beforeAutospacing="0" w:after="0" w:afterAutospacing="0" w:line="560" w:lineRule="exact"/>
        <w:jc w:val="center"/>
        <w:rPr>
          <w:rFonts w:hint="eastAsia" w:ascii="黑体" w:hAnsi="黑体" w:eastAsia="黑体" w:cs="黑体"/>
          <w:color w:val="000000"/>
          <w:sz w:val="32"/>
          <w:szCs w:val="32"/>
          <w:lang w:val="en-US" w:eastAsia="zh-CN"/>
        </w:rPr>
      </w:pPr>
    </w:p>
    <w:p>
      <w:pPr>
        <w:rPr>
          <w:rFonts w:hint="eastAsia"/>
          <w:lang w:val="en-US" w:eastAsia="zh-CN"/>
        </w:rPr>
      </w:pPr>
    </w:p>
    <w:p>
      <w:pPr>
        <w:pStyle w:val="6"/>
        <w:shd w:val="clear" w:color="auto" w:fill="FFFFFF"/>
        <w:spacing w:before="0" w:beforeAutospacing="0" w:after="0" w:afterAutospacing="0" w:line="560" w:lineRule="exact"/>
        <w:jc w:val="center"/>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第二部分  2022年度单位预算情况说明</w:t>
      </w:r>
    </w:p>
    <w:p>
      <w:pPr>
        <w:pStyle w:val="2"/>
        <w:rPr>
          <w:rFonts w:hint="default"/>
          <w:lang w:val="en-US"/>
        </w:rPr>
      </w:pP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、预算收支增减变化及情况说明</w:t>
      </w:r>
    </w:p>
    <w:p>
      <w:pPr>
        <w:pStyle w:val="6"/>
        <w:shd w:val="clear" w:color="auto" w:fill="FFFFFF"/>
        <w:spacing w:before="0" w:beforeAutospacing="0" w:after="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年预算总收入</w:t>
      </w:r>
      <w:r>
        <w:rPr>
          <w:rFonts w:hint="eastAsia" w:ascii="仿宋_GB2312" w:eastAsia="仿宋_GB2312"/>
          <w:color w:val="000000"/>
          <w:sz w:val="32"/>
          <w:szCs w:val="32"/>
          <w:lang w:val="en-US" w:eastAsia="zh-CN"/>
        </w:rPr>
        <w:t>241.87</w:t>
      </w:r>
      <w:r>
        <w:rPr>
          <w:rFonts w:hint="eastAsia" w:ascii="仿宋_GB2312" w:eastAsia="仿宋_GB2312"/>
          <w:color w:val="000000"/>
          <w:sz w:val="32"/>
          <w:szCs w:val="32"/>
        </w:rPr>
        <w:t>万元，主要原因是</w:t>
      </w:r>
      <w:r>
        <w:rPr>
          <w:rFonts w:hint="eastAsia" w:ascii="仿宋_GB2312" w:eastAsia="仿宋_GB2312"/>
          <w:color w:val="000000"/>
          <w:sz w:val="32"/>
          <w:szCs w:val="32"/>
          <w:lang w:val="en-US" w:eastAsia="zh-CN"/>
        </w:rPr>
        <w:t>我单位是新合并成立的</w:t>
      </w:r>
      <w:r>
        <w:rPr>
          <w:rFonts w:hint="eastAsia" w:ascii="仿宋_GB2312" w:eastAsia="仿宋_GB2312"/>
          <w:color w:val="000000"/>
          <w:sz w:val="32"/>
          <w:szCs w:val="32"/>
          <w:lang w:eastAsia="zh-CN"/>
        </w:rPr>
        <w:t>公益二类事业单</w:t>
      </w:r>
      <w:r>
        <w:rPr>
          <w:rFonts w:hint="eastAsia" w:ascii="仿宋_GB2312" w:eastAsia="仿宋_GB2312"/>
          <w:color w:val="000000"/>
          <w:sz w:val="32"/>
          <w:szCs w:val="32"/>
          <w:lang w:val="en-US" w:eastAsia="zh-CN"/>
        </w:rPr>
        <w:t>位，无上年</w:t>
      </w:r>
      <w:r>
        <w:rPr>
          <w:rFonts w:hint="eastAsia" w:ascii="仿宋_GB2312" w:eastAsia="仿宋_GB2312"/>
          <w:color w:val="000000"/>
          <w:sz w:val="32"/>
          <w:szCs w:val="32"/>
        </w:rPr>
        <w:t>预算总收入。</w:t>
      </w: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hint="eastAsia"/>
          <w:color w:val="000000"/>
          <w:sz w:val="32"/>
          <w:szCs w:val="32"/>
        </w:rPr>
        <w:t>、</w:t>
      </w:r>
      <w:r>
        <w:rPr>
          <w:rFonts w:hint="eastAsia" w:ascii="黑体" w:hAnsi="黑体" w:eastAsia="黑体" w:cs="黑体"/>
          <w:color w:val="000000"/>
          <w:sz w:val="32"/>
          <w:szCs w:val="32"/>
        </w:rPr>
        <w:t>机关运行经费安排情况</w:t>
      </w:r>
    </w:p>
    <w:p>
      <w:pPr>
        <w:ind w:firstLine="640" w:firstLineChars="200"/>
        <w:rPr>
          <w:rFonts w:hint="default"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我单位无机关运行经费。</w:t>
      </w: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b w:val="0"/>
          <w:bCs w:val="0"/>
          <w:color w:val="000000"/>
          <w:sz w:val="32"/>
          <w:szCs w:val="32"/>
          <w:lang w:eastAsia="zh-CN"/>
        </w:rPr>
        <w:t>三</w:t>
      </w:r>
      <w:r>
        <w:rPr>
          <w:rFonts w:hint="eastAsia"/>
          <w:color w:val="000000"/>
          <w:sz w:val="32"/>
          <w:szCs w:val="32"/>
        </w:rPr>
        <w:t>、</w:t>
      </w:r>
      <w:r>
        <w:rPr>
          <w:rFonts w:hint="eastAsia" w:ascii="黑体" w:hAnsi="黑体" w:eastAsia="黑体" w:cs="黑体"/>
          <w:color w:val="000000"/>
          <w:sz w:val="32"/>
          <w:szCs w:val="32"/>
        </w:rPr>
        <w:t>三公经费增减变化及原因</w:t>
      </w:r>
    </w:p>
    <w:p>
      <w:pPr>
        <w:ind w:firstLine="640" w:firstLineChars="200"/>
        <w:rPr>
          <w:rFonts w:ascii="仿宋_GB2312" w:eastAsia="仿宋_GB2312"/>
          <w:color w:val="000000"/>
          <w:sz w:val="32"/>
          <w:szCs w:val="32"/>
        </w:rPr>
      </w:pPr>
      <w:r>
        <w:rPr>
          <w:rFonts w:hint="eastAsia" w:ascii="仿宋_GB2312" w:hAnsi="宋体" w:eastAsia="仿宋_GB2312" w:cs="宋体"/>
          <w:color w:val="auto"/>
          <w:kern w:val="0"/>
          <w:sz w:val="32"/>
          <w:szCs w:val="32"/>
          <w:lang w:val="en-US" w:eastAsia="zh-CN" w:bidi="ar-SA"/>
        </w:rPr>
        <w:t>我单位无三公经费。</w:t>
      </w:r>
      <w:r>
        <w:rPr>
          <w:rFonts w:hint="eastAsia" w:ascii="仿宋_GB2312" w:eastAsia="仿宋_GB2312"/>
          <w:color w:val="000000"/>
          <w:sz w:val="32"/>
          <w:szCs w:val="32"/>
        </w:rPr>
        <w:tab/>
      </w: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color w:val="000000"/>
          <w:sz w:val="32"/>
          <w:szCs w:val="32"/>
        </w:rPr>
        <w:t>、</w:t>
      </w:r>
      <w:r>
        <w:rPr>
          <w:rFonts w:hint="eastAsia" w:ascii="黑体" w:hAnsi="黑体" w:eastAsia="黑体" w:cs="黑体"/>
          <w:color w:val="000000"/>
          <w:sz w:val="32"/>
          <w:szCs w:val="32"/>
        </w:rPr>
        <w:t>政府采购预算情况说明</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auto"/>
          <w:kern w:val="0"/>
          <w:sz w:val="32"/>
          <w:szCs w:val="32"/>
          <w:lang w:val="en-US" w:eastAsia="zh-CN" w:bidi="ar-SA"/>
        </w:rPr>
        <w:t>我单位无政府采购经费</w:t>
      </w:r>
      <w:r>
        <w:rPr>
          <w:rFonts w:hint="eastAsia" w:ascii="仿宋_GB2312" w:hAnsi="宋体" w:eastAsia="仿宋_GB2312" w:cs="宋体"/>
          <w:color w:val="000000"/>
          <w:kern w:val="0"/>
          <w:sz w:val="32"/>
          <w:szCs w:val="32"/>
        </w:rPr>
        <w:t>。</w:t>
      </w: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、行政事业单位国有资产使用占用情况说明</w:t>
      </w:r>
    </w:p>
    <w:p>
      <w:pPr>
        <w:pStyle w:val="5"/>
        <w:widowControl/>
        <w:ind w:right="-255" w:firstLine="640" w:firstLineChars="200"/>
        <w:rPr>
          <w:rFonts w:hint="default" w:ascii="仿宋_GB2312" w:eastAsia="仿宋_GB2312" w:cs="宋体" w:hAnsiTheme="majorEastAsia"/>
          <w:color w:val="000000"/>
          <w:sz w:val="32"/>
          <w:szCs w:val="32"/>
          <w:highlight w:val="none"/>
        </w:rPr>
      </w:pPr>
      <w:r>
        <w:rPr>
          <w:rFonts w:ascii="仿宋_GB2312" w:eastAsia="仿宋_GB2312" w:cs="宋体" w:hAnsiTheme="majorEastAsia"/>
          <w:color w:val="000000"/>
          <w:sz w:val="32"/>
          <w:szCs w:val="32"/>
          <w:highlight w:val="none"/>
        </w:rPr>
        <w:t>20</w:t>
      </w:r>
      <w:r>
        <w:rPr>
          <w:rFonts w:hint="eastAsia" w:ascii="仿宋_GB2312" w:eastAsia="仿宋_GB2312" w:cs="宋体" w:hAnsiTheme="majorEastAsia"/>
          <w:color w:val="000000"/>
          <w:sz w:val="32"/>
          <w:szCs w:val="32"/>
          <w:highlight w:val="none"/>
          <w:lang w:val="en-US" w:eastAsia="zh-CN"/>
        </w:rPr>
        <w:t>21</w:t>
      </w:r>
      <w:r>
        <w:rPr>
          <w:rFonts w:ascii="仿宋_GB2312" w:eastAsia="仿宋_GB2312" w:cs="宋体" w:hAnsiTheme="majorEastAsia"/>
          <w:color w:val="000000"/>
          <w:sz w:val="32"/>
          <w:szCs w:val="32"/>
          <w:highlight w:val="none"/>
        </w:rPr>
        <w:t>年底我单位国有资产</w:t>
      </w:r>
      <w:r>
        <w:rPr>
          <w:rFonts w:hint="eastAsia" w:ascii="仿宋_GB2312" w:eastAsia="仿宋_GB2312" w:cs="宋体" w:hAnsiTheme="majorEastAsia"/>
          <w:color w:val="000000"/>
          <w:sz w:val="32"/>
          <w:szCs w:val="32"/>
          <w:highlight w:val="none"/>
          <w:lang w:val="en-US" w:eastAsia="zh-CN"/>
        </w:rPr>
        <w:t>137.57万</w:t>
      </w:r>
      <w:r>
        <w:rPr>
          <w:rFonts w:ascii="仿宋_GB2312" w:eastAsia="仿宋_GB2312" w:cs="宋体" w:hAnsiTheme="majorEastAsia"/>
          <w:color w:val="000000"/>
          <w:sz w:val="32"/>
          <w:szCs w:val="32"/>
          <w:highlight w:val="none"/>
        </w:rPr>
        <w:t>元。</w:t>
      </w: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、项目绩效目标情况说明</w:t>
      </w: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0"/>
          <w:szCs w:val="30"/>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年我单位设立绩效目标的项目是：森林防火及物资储备。预算金额95万元。绩效目标</w:t>
      </w:r>
      <w:r>
        <w:rPr>
          <w:rFonts w:hint="eastAsia" w:ascii="仿宋_GB2312" w:eastAsia="仿宋_GB2312"/>
          <w:color w:val="000000"/>
          <w:sz w:val="32"/>
          <w:szCs w:val="32"/>
          <w:lang w:eastAsia="zh-CN"/>
        </w:rPr>
        <w:t>：</w:t>
      </w:r>
      <w:r>
        <w:rPr>
          <w:rFonts w:hint="eastAsia" w:ascii="仿宋_GB2312" w:eastAsia="仿宋_GB2312"/>
          <w:color w:val="000000"/>
          <w:sz w:val="32"/>
          <w:szCs w:val="32"/>
        </w:rPr>
        <w:t>该工程保障我县森林资源和人民生命财产的安全，最大限度地减少森林火灾造成的损失，全面加强森林火灾的防控能力和扑救森林火灾的能力。</w:t>
      </w:r>
    </w:p>
    <w:p>
      <w:pPr>
        <w:spacing w:line="580" w:lineRule="exact"/>
        <w:jc w:val="center"/>
        <w:rPr>
          <w:rStyle w:val="14"/>
          <w:rFonts w:hint="eastAsia" w:ascii="黑体" w:hAnsi="黑体" w:eastAsia="黑体" w:cs="黑体"/>
          <w:b/>
          <w:bCs/>
          <w:sz w:val="32"/>
          <w:szCs w:val="32"/>
          <w:lang w:eastAsia="zh-CN"/>
        </w:rPr>
      </w:pPr>
    </w:p>
    <w:p>
      <w:pPr>
        <w:pStyle w:val="2"/>
        <w:rPr>
          <w:rFonts w:hint="eastAsia"/>
          <w:lang w:eastAsia="zh-CN"/>
        </w:rPr>
      </w:pPr>
    </w:p>
    <w:p>
      <w:pPr>
        <w:pStyle w:val="2"/>
        <w:rPr>
          <w:rStyle w:val="14"/>
          <w:rFonts w:hint="eastAsia" w:ascii="黑体" w:hAnsi="黑体" w:eastAsia="黑体" w:cs="黑体"/>
          <w:b/>
          <w:bCs/>
          <w:sz w:val="32"/>
          <w:szCs w:val="32"/>
          <w:lang w:eastAsia="zh-CN"/>
        </w:rPr>
      </w:pPr>
    </w:p>
    <w:p>
      <w:pPr>
        <w:pStyle w:val="2"/>
        <w:rPr>
          <w:rStyle w:val="14"/>
          <w:rFonts w:hint="eastAsia" w:ascii="黑体" w:hAnsi="黑体" w:eastAsia="黑体" w:cs="黑体"/>
          <w:b/>
          <w:bCs/>
          <w:sz w:val="32"/>
          <w:szCs w:val="32"/>
          <w:lang w:eastAsia="zh-CN"/>
        </w:rPr>
      </w:pPr>
    </w:p>
    <w:p>
      <w:pPr>
        <w:spacing w:line="580" w:lineRule="exact"/>
        <w:jc w:val="center"/>
        <w:rPr>
          <w:rStyle w:val="14"/>
          <w:rFonts w:ascii="黑体" w:hAnsi="黑体" w:eastAsia="黑体" w:cs="黑体"/>
          <w:b/>
          <w:bCs/>
          <w:sz w:val="32"/>
          <w:szCs w:val="32"/>
        </w:rPr>
      </w:pPr>
      <w:r>
        <w:rPr>
          <w:rStyle w:val="14"/>
          <w:rFonts w:hint="eastAsia" w:ascii="黑体" w:hAnsi="黑体" w:eastAsia="黑体" w:cs="黑体"/>
          <w:b/>
          <w:bCs/>
          <w:sz w:val="32"/>
          <w:szCs w:val="32"/>
          <w:lang w:eastAsia="zh-CN"/>
        </w:rPr>
        <w:t>第三部分</w:t>
      </w:r>
      <w:r>
        <w:rPr>
          <w:rStyle w:val="14"/>
          <w:rFonts w:hint="eastAsia" w:ascii="黑体" w:hAnsi="黑体" w:eastAsia="黑体" w:cs="黑体"/>
          <w:b/>
          <w:bCs/>
          <w:sz w:val="32"/>
          <w:szCs w:val="32"/>
          <w:lang w:val="en-US" w:eastAsia="zh-CN"/>
        </w:rPr>
        <w:t xml:space="preserve">  </w:t>
      </w:r>
      <w:r>
        <w:rPr>
          <w:rStyle w:val="14"/>
          <w:rFonts w:ascii="黑体" w:hAnsi="黑体" w:eastAsia="黑体" w:cs="黑体"/>
          <w:b/>
          <w:bCs/>
          <w:sz w:val="32"/>
          <w:szCs w:val="32"/>
        </w:rPr>
        <w:t>名词解释</w:t>
      </w:r>
    </w:p>
    <w:p>
      <w:pPr>
        <w:keepNext w:val="0"/>
        <w:keepLines w:val="0"/>
        <w:pageBreakBefore w:val="0"/>
        <w:widowControl w:val="0"/>
        <w:kinsoku/>
        <w:wordWrap/>
        <w:overflowPunct/>
        <w:topLinePunct w:val="0"/>
        <w:autoSpaceDE/>
        <w:autoSpaceDN/>
        <w:bidi w:val="0"/>
        <w:adjustRightInd/>
        <w:spacing w:line="520" w:lineRule="exact"/>
        <w:textAlignment w:val="auto"/>
        <w:rPr>
          <w:rStyle w:val="14"/>
          <w:rFonts w:ascii="仿宋" w:hAnsi="仿宋" w:eastAsia="仿宋"/>
          <w:b/>
          <w:bCs/>
          <w:sz w:val="32"/>
          <w:szCs w:val="32"/>
        </w:rPr>
      </w:pPr>
      <w:r>
        <w:rPr>
          <w:rStyle w:val="14"/>
          <w:rFonts w:ascii="黑体" w:hAnsi="黑体" w:eastAsia="黑体" w:cs="黑体"/>
          <w:b/>
          <w:bCs/>
          <w:sz w:val="32"/>
          <w:szCs w:val="32"/>
        </w:rPr>
        <w:t>附：名词解释</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lang w:val="en-US" w:eastAsia="zh-CN"/>
        </w:rPr>
        <w:t>一</w:t>
      </w:r>
      <w:r>
        <w:rPr>
          <w:rFonts w:hint="eastAsia" w:ascii="仿宋_GB2312" w:eastAsia="仿宋_GB2312"/>
          <w:b/>
          <w:bCs/>
          <w:color w:val="000000"/>
          <w:sz w:val="32"/>
          <w:szCs w:val="32"/>
        </w:rPr>
        <w:t>、</w:t>
      </w:r>
      <w:r>
        <w:rPr>
          <w:rFonts w:hint="default" w:ascii="Times New Roman" w:hAnsi="Times New Roman" w:eastAsia="仿宋_GB2312" w:cs="Times New Roman"/>
          <w:b/>
          <w:bCs/>
          <w:color w:val="auto"/>
          <w:kern w:val="2"/>
          <w:sz w:val="32"/>
          <w:szCs w:val="32"/>
          <w:highlight w:val="none"/>
          <w:lang w:val="en-US" w:eastAsia="zh-CN" w:bidi="ar-SA"/>
        </w:rPr>
        <w:t>预算管理一体化：</w:t>
      </w:r>
      <w:r>
        <w:rPr>
          <w:rFonts w:hint="default" w:ascii="Times New Roman" w:hAnsi="Times New Roman" w:eastAsia="仿宋_GB2312" w:cs="Times New Roman"/>
          <w:color w:val="auto"/>
          <w:kern w:val="2"/>
          <w:sz w:val="32"/>
          <w:szCs w:val="32"/>
          <w:highlight w:val="none"/>
          <w:lang w:val="en-US" w:eastAsia="zh-CN" w:bidi="ar-SA"/>
        </w:rPr>
        <w:t>是以统一预算管理规则为核心，以预算管理一体化系统为主要载体，将统一的管理规则嵌入信息系统，提高项目储备、预算编审、预算调整和调剂、资金支付、会计核算、决算和报告等工作的标准化、自动化水平，实现对预算管理全流程的动态反映和有效控制，保证各级预算管理规范高效。</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3" w:firstLineChars="200"/>
        <w:textAlignment w:val="auto"/>
        <w:rPr>
          <w:rStyle w:val="14"/>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二、国库集中收付制度：</w:t>
      </w:r>
      <w:r>
        <w:rPr>
          <w:rStyle w:val="14"/>
          <w:rFonts w:hint="eastAsia" w:ascii="仿宋_GB2312" w:eastAsia="仿宋_GB2312"/>
          <w:color w:val="000000"/>
          <w:sz w:val="32"/>
          <w:szCs w:val="32"/>
        </w:rPr>
        <w:t>是一种对财政资金实行集中收缴和支付的管理制度。其核心是通过建立国库单一账户体系，将所有财政性资金的收入和支出全部纳入国库单一账户体系管理和核算。财政收入通过国库单一账户体系直接缴入国库；财政支出按预算通过国库单一账户体系，由财政集中支付或授权预算单位支付到商品或劳务供应商。</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3" w:firstLineChars="200"/>
        <w:textAlignment w:val="auto"/>
        <w:rPr>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三、基本支出：</w:t>
      </w:r>
      <w:r>
        <w:rPr>
          <w:rFonts w:hint="eastAsia" w:ascii="仿宋_GB2312" w:eastAsia="仿宋_GB2312"/>
          <w:color w:val="000000"/>
          <w:sz w:val="32"/>
          <w:szCs w:val="32"/>
        </w:rPr>
        <w:t>是预算单位为保障其正常运转，完成日常工作任务所发生的支出，包括人员支出和日常公用支出。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3" w:firstLineChars="200"/>
        <w:textAlignment w:val="auto"/>
        <w:rPr>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四、项目支出：</w:t>
      </w:r>
      <w:r>
        <w:rPr>
          <w:rFonts w:hint="eastAsia" w:ascii="仿宋_GB2312" w:eastAsia="仿宋_GB2312"/>
          <w:color w:val="000000"/>
          <w:sz w:val="32"/>
          <w:szCs w:val="32"/>
        </w:rPr>
        <w:t>是预算单位为完成其特定的行政工作任务或事业发展目标所发生的支出。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3" w:firstLineChars="200"/>
        <w:textAlignment w:val="auto"/>
        <w:rPr>
          <w:rFonts w:hint="eastAsia"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五、三公经费：</w:t>
      </w:r>
      <w:r>
        <w:rPr>
          <w:rFonts w:hint="eastAsia" w:ascii="仿宋_GB2312" w:eastAsia="仿宋_GB2312"/>
          <w:color w:val="000000"/>
          <w:sz w:val="32"/>
          <w:szCs w:val="32"/>
        </w:rPr>
        <w:t>公务接待费，公务用车购置运行维护费和因公出国（境）费。</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b/>
          <w:bCs/>
          <w:color w:val="auto"/>
          <w:kern w:val="2"/>
          <w:sz w:val="32"/>
          <w:szCs w:val="32"/>
          <w:highlight w:val="none"/>
          <w:lang w:val="en-US" w:eastAsia="zh-CN" w:bidi="ar-SA"/>
        </w:rPr>
        <w:t>六、</w:t>
      </w:r>
      <w:r>
        <w:rPr>
          <w:rFonts w:hint="default" w:ascii="Times New Roman" w:hAnsi="Times New Roman" w:eastAsia="仿宋_GB2312" w:cs="Times New Roman"/>
          <w:b/>
          <w:bCs/>
          <w:color w:val="auto"/>
          <w:kern w:val="2"/>
          <w:sz w:val="32"/>
          <w:szCs w:val="32"/>
          <w:highlight w:val="none"/>
          <w:lang w:val="en-US" w:eastAsia="zh-CN" w:bidi="ar-SA"/>
        </w:rPr>
        <w:t>直达资金：</w:t>
      </w:r>
      <w:r>
        <w:rPr>
          <w:rFonts w:hint="default" w:ascii="Times New Roman" w:hAnsi="Times New Roman" w:eastAsia="仿宋_GB2312" w:cs="Times New Roman"/>
          <w:color w:val="auto"/>
          <w:kern w:val="2"/>
          <w:sz w:val="32"/>
          <w:szCs w:val="32"/>
          <w:highlight w:val="none"/>
          <w:lang w:val="en-US" w:eastAsia="zh-CN" w:bidi="ar-SA"/>
        </w:rPr>
        <w:t>是指中央政府直接拨付到地方的资金，是在建立特殊转移支付机制，通过中央对地方转移支付，避免了资金的层层审批，能够充分发挥资金效益，利企利民。</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0" w:firstLineChars="200"/>
        <w:jc w:val="right"/>
        <w:textAlignment w:val="auto"/>
        <w:rPr>
          <w:rStyle w:val="14"/>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r>
        <w:rPr>
          <w:rStyle w:val="14"/>
          <w:rFonts w:hint="eastAsia" w:ascii="仿宋_GB2312" w:eastAsia="仿宋_GB2312"/>
          <w:color w:val="000000"/>
          <w:sz w:val="32"/>
          <w:szCs w:val="32"/>
          <w:lang w:val="en-US" w:eastAsia="zh-CN"/>
        </w:rPr>
        <w:t xml:space="preserve">  </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0" w:firstLineChars="200"/>
        <w:jc w:val="right"/>
        <w:textAlignment w:val="auto"/>
        <w:rPr>
          <w:rStyle w:val="14"/>
          <w:rFonts w:hint="eastAsia" w:ascii="仿宋_GB2312" w:eastAsia="仿宋_GB2312"/>
          <w:color w:val="000000"/>
          <w:sz w:val="32"/>
          <w:szCs w:val="32"/>
          <w:lang w:val="en-US" w:eastAsia="zh-CN"/>
        </w:rPr>
      </w:pPr>
      <w:r>
        <w:rPr>
          <w:rStyle w:val="14"/>
          <w:rFonts w:hint="eastAsia" w:ascii="仿宋_GB2312" w:eastAsia="仿宋_GB2312"/>
          <w:color w:val="000000"/>
          <w:sz w:val="32"/>
          <w:szCs w:val="32"/>
          <w:lang w:val="en-US" w:eastAsia="zh-CN"/>
        </w:rPr>
        <w:t>芮城县林草发展中心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0" w:firstLineChars="200"/>
        <w:jc w:val="right"/>
        <w:textAlignment w:val="auto"/>
        <w:rPr>
          <w:rStyle w:val="14"/>
          <w:rFonts w:hint="eastAsia" w:ascii="仿宋_GB2312" w:eastAsia="仿宋_GB2312"/>
          <w:color w:val="000000"/>
          <w:sz w:val="32"/>
          <w:szCs w:val="32"/>
          <w:lang w:val="en-US" w:eastAsia="zh-CN"/>
        </w:rPr>
      </w:pPr>
      <w:r>
        <w:rPr>
          <w:rStyle w:val="14"/>
          <w:rFonts w:hint="eastAsia" w:ascii="仿宋_GB2312" w:eastAsia="仿宋_GB2312"/>
          <w:color w:val="000000"/>
          <w:sz w:val="32"/>
          <w:szCs w:val="32"/>
          <w:lang w:val="en-US" w:eastAsia="zh-CN"/>
        </w:rPr>
        <w:t xml:space="preserve">        2022年2月23日                   </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line="520" w:lineRule="exact"/>
        <w:ind w:firstLine="640" w:firstLineChars="200"/>
        <w:textAlignment w:val="auto"/>
        <w:rPr>
          <w:rStyle w:val="14"/>
          <w:rFonts w:hint="eastAsia" w:ascii="仿宋_GB2312"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6ED02"/>
    <w:multiLevelType w:val="singleLevel"/>
    <w:tmpl w:val="C686ED0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69AE"/>
    <w:rsid w:val="001106FC"/>
    <w:rsid w:val="00203B34"/>
    <w:rsid w:val="003C02DF"/>
    <w:rsid w:val="00400009"/>
    <w:rsid w:val="00462849"/>
    <w:rsid w:val="00AA67D1"/>
    <w:rsid w:val="00D10C0F"/>
    <w:rsid w:val="00D13DA8"/>
    <w:rsid w:val="00DD6409"/>
    <w:rsid w:val="00DF69E9"/>
    <w:rsid w:val="00EB792F"/>
    <w:rsid w:val="00F036D9"/>
    <w:rsid w:val="0160261F"/>
    <w:rsid w:val="04D93152"/>
    <w:rsid w:val="09D01C33"/>
    <w:rsid w:val="0BD63B10"/>
    <w:rsid w:val="11482516"/>
    <w:rsid w:val="12EE40AD"/>
    <w:rsid w:val="13001549"/>
    <w:rsid w:val="137E31A9"/>
    <w:rsid w:val="16245DA3"/>
    <w:rsid w:val="17B17AE9"/>
    <w:rsid w:val="17EF4B1A"/>
    <w:rsid w:val="18BA1103"/>
    <w:rsid w:val="194F023C"/>
    <w:rsid w:val="1A6938AB"/>
    <w:rsid w:val="20EA69AE"/>
    <w:rsid w:val="21F14A03"/>
    <w:rsid w:val="28C17575"/>
    <w:rsid w:val="29102A86"/>
    <w:rsid w:val="2D0036B3"/>
    <w:rsid w:val="31232198"/>
    <w:rsid w:val="350670B9"/>
    <w:rsid w:val="356418FE"/>
    <w:rsid w:val="35C762F8"/>
    <w:rsid w:val="366F1BBD"/>
    <w:rsid w:val="366F1C87"/>
    <w:rsid w:val="3A8D1BB1"/>
    <w:rsid w:val="3B505863"/>
    <w:rsid w:val="3CC80128"/>
    <w:rsid w:val="479779C7"/>
    <w:rsid w:val="490661D9"/>
    <w:rsid w:val="49170DBF"/>
    <w:rsid w:val="494D32F7"/>
    <w:rsid w:val="4A64704B"/>
    <w:rsid w:val="4D793265"/>
    <w:rsid w:val="52F844A0"/>
    <w:rsid w:val="53636A63"/>
    <w:rsid w:val="55302188"/>
    <w:rsid w:val="57661158"/>
    <w:rsid w:val="5B1D7C3F"/>
    <w:rsid w:val="61B46751"/>
    <w:rsid w:val="62C31218"/>
    <w:rsid w:val="665723A3"/>
    <w:rsid w:val="69A14741"/>
    <w:rsid w:val="6C353187"/>
    <w:rsid w:val="7155073F"/>
    <w:rsid w:val="71C65EE5"/>
    <w:rsid w:val="7520227A"/>
    <w:rsid w:val="783C482A"/>
    <w:rsid w:val="79C95236"/>
    <w:rsid w:val="7F0E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正文首行缩进 21"/>
    <w:basedOn w:val="10"/>
    <w:next w:val="6"/>
    <w:qFormat/>
    <w:uiPriority w:val="99"/>
    <w:pPr>
      <w:ind w:firstLine="200" w:firstLineChars="200"/>
    </w:pPr>
  </w:style>
  <w:style w:type="paragraph" w:customStyle="1" w:styleId="10">
    <w:name w:val="正文文本缩进1"/>
    <w:basedOn w:val="1"/>
    <w:qFormat/>
    <w:uiPriority w:val="99"/>
    <w:pPr>
      <w:ind w:left="200" w:leftChars="200"/>
    </w:pPr>
  </w:style>
  <w:style w:type="character" w:customStyle="1" w:styleId="11">
    <w:name w:val="页眉 Char"/>
    <w:basedOn w:val="8"/>
    <w:link w:val="4"/>
    <w:qFormat/>
    <w:uiPriority w:val="0"/>
    <w:rPr>
      <w:kern w:val="2"/>
      <w:sz w:val="18"/>
      <w:szCs w:val="18"/>
    </w:rPr>
  </w:style>
  <w:style w:type="character" w:customStyle="1" w:styleId="12">
    <w:name w:val="页脚 Char"/>
    <w:basedOn w:val="8"/>
    <w:link w:val="3"/>
    <w:qFormat/>
    <w:uiPriority w:val="0"/>
    <w:rPr>
      <w:kern w:val="2"/>
      <w:sz w:val="18"/>
      <w:szCs w:val="18"/>
    </w:rPr>
  </w:style>
  <w:style w:type="character" w:customStyle="1" w:styleId="13">
    <w:name w:val="HTML 预设格式 Char"/>
    <w:basedOn w:val="8"/>
    <w:link w:val="5"/>
    <w:qFormat/>
    <w:uiPriority w:val="0"/>
    <w:rPr>
      <w:rFonts w:ascii="宋体" w:hAnsi="宋体"/>
      <w:sz w:val="24"/>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199</Words>
  <Characters>1135</Characters>
  <Lines>9</Lines>
  <Paragraphs>2</Paragraphs>
  <TotalTime>0</TotalTime>
  <ScaleCrop>false</ScaleCrop>
  <LinksUpToDate>false</LinksUpToDate>
  <CharactersWithSpaces>1332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2019-02-25T02:36:00Z</dcterms:created>
  <dc:creator>Administrator</dc:creator>
  <cp:lastModifiedBy>孙 权</cp:lastModifiedBy>
  <cp:lastPrinted>2022-02-24T03:07:00Z</cp:lastPrinted>
  <dcterms:modified xsi:type="dcterms:W3CDTF">2022-02-24T08:42:36Z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E3ED719BA18E44DB8114B6802C661F17</vt:lpwstr>
  </property>
</Properties>
</file>