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2022年政府预算公开目录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预算草案报告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转移支付安排情况说明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举借政府债务情况说明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一般公共预算“三公”经费预算安排情况说明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政府预算公开表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预算公开表1    一般公共预算收入表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预算公开表2    一般公共预算支出表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预算公开表3    一般公共预算本级支出表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预算公开表4    一般公共预算本级基本支出表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预算公开表5    一般公共预算税收返还和转移支付表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预算公开表6    政府一般债务限额和余额情况表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预算公开表7    政府性基金收入表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预算公开表8    政府性基金支出表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预算公开表9    政府性基金转移支付表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预算公开表10   政府专项债务限额和余额情况表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预算公开表11   国有资本经营预算收入表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预算公开表12   国有资本经营预算支出表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预算公开表1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 xml:space="preserve">   社会保险基金收入表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预算公开表1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 xml:space="preserve">   社会保险基金支出表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预算公开表1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一般公共预算“三公”经费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表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预算公开表1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政府采购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表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地方政府债务情况说明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年度本地区、本级及所属地区地方政府债务限额及余额（或余额预计执行数）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年度本地区和本级地方政府债券（含再融资债券）发行及还本付息额（或预计执行数）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年度地方政府债券还本付息预算数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年度本地区及本级地方政府债券资金使用安排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财政扶贫资金情况说明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公开财政扶贫资金安排分配情况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公开财政扶贫资金相关政策办法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587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BB32A0"/>
    <w:multiLevelType w:val="singleLevel"/>
    <w:tmpl w:val="F1BB32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072EE"/>
    <w:rsid w:val="069D1BFD"/>
    <w:rsid w:val="06CD24E2"/>
    <w:rsid w:val="0A6072EE"/>
    <w:rsid w:val="0CBB0F29"/>
    <w:rsid w:val="161D23A1"/>
    <w:rsid w:val="3139239E"/>
    <w:rsid w:val="36292915"/>
    <w:rsid w:val="3E945048"/>
    <w:rsid w:val="5B176485"/>
    <w:rsid w:val="7CC6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2022-01-26T07:22:00Z</dcterms:created>
  <dc:creator>WPS_1468048381</dc:creator>
  <cp:lastModifiedBy>Administrator</cp:lastModifiedBy>
  <dcterms:modified xsi:type="dcterms:W3CDTF">2022-01-26T08:14:21Z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FEA338ECEEFB4713872733E5977C9A7A</vt:lpwstr>
  </property>
</Properties>
</file>