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风开行审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关于山西国亮新材料有限公司年产3万吨新型特种铝合金材料项目环境影响报告表的批复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山西国亮新材料有限公司：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　　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你公司报送的《山西国亮新材料有限公司年产3万吨新型特种铝合金材料项目环境影响报告表》</w:t>
      </w:r>
      <w:r>
        <w:rPr>
          <w:rFonts w:hint="eastAsia" w:ascii="仿宋_GB2312" w:hAnsi="仿宋" w:eastAsia="仿宋_GB2312" w:cs="仿宋"/>
          <w:sz w:val="32"/>
          <w:szCs w:val="32"/>
        </w:rPr>
        <w:t>（以下简称《报告表》）、报批申请资料及专家评审意见收悉。经研究，现批复如下: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依据《报告表》内容，本项目位于山西风陵渡经济开发区西南外环路北，占地面积为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16650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m</w:t>
      </w:r>
      <w:r>
        <w:rPr>
          <w:rFonts w:hint="eastAsia" w:ascii="仿宋_GB2312" w:hAnsi="仿宋" w:eastAsia="仿宋_GB2312" w:cs="仿宋"/>
          <w:kern w:val="0"/>
          <w:sz w:val="32"/>
          <w:szCs w:val="32"/>
          <w:vertAlign w:val="superscript"/>
        </w:rPr>
        <w:t>2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建设办公楼、宿舍楼、生产车间、原材料及成品库、五金备件库，新上三条特种铝合金生产线，及环保等附属设施。项目总投资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5000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其中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环境保护投资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120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万元。山西风陵渡经济开发区行政审批局以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2103-140864-89-01-542890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号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备案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。项目符合开发区总体规划，项目在全面落实环评报告表提出的各项环境保护措施后，对环境的不利影响能够得到减缓和控制，该项目环境影响报告表中所列建设项目的性质、规模、工艺、地点和拟采取的环境保护措施可作为项目实施的依据。根据《报告表》结论，我局原则同意《报告表》所列性质、规模、生产工艺及环境保护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  <w:t>　</w:t>
      </w:r>
      <w:r>
        <w:rPr>
          <w:rFonts w:hint="eastAsia" w:ascii="仿宋_GB2312" w:hAnsi="仿宋" w:eastAsia="仿宋_GB2312" w:cs="仿宋"/>
          <w:color w:val="C0504D"/>
          <w:kern w:val="0"/>
          <w:sz w:val="32"/>
          <w:szCs w:val="32"/>
        </w:rPr>
        <w:t>　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二、</w:t>
      </w:r>
      <w:r>
        <w:rPr>
          <w:rFonts w:hint="eastAsia" w:ascii="仿宋_GB2312" w:hAnsi="仿宋" w:eastAsia="仿宋_GB2312" w:cs="仿宋"/>
          <w:sz w:val="32"/>
          <w:szCs w:val="32"/>
        </w:rPr>
        <w:t>在工程设计、建设和运营管理中，必须对照《报告表》及本批复逐项落实各项环境保护措施，重点做好以下工作：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认真做好施工期环境保护工作。严格按照《防治城市扬尘污染技术规范》（HJT393-2007）及相关规定落实各项扬尘污染防治，减少施工期废气对周围环境的影响。施工场地设置隔油池、沉淀池，设备冲洗水经隔油、沉淀处理后回用于施工场地洒水抑尘，生活污水收集后直接回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于</w:t>
      </w:r>
      <w:r>
        <w:rPr>
          <w:rFonts w:hint="eastAsia" w:ascii="仿宋_GB2312" w:hAnsi="仿宋" w:eastAsia="仿宋_GB2312" w:cs="仿宋"/>
          <w:sz w:val="32"/>
          <w:szCs w:val="32"/>
        </w:rPr>
        <w:t>场地洒水抑尘。合理安排施工时间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降低设备声级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降低人为噪音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运输要采用车况良好的车辆，并应注意定期维修、养护。建筑垃圾进行分类回收利用，不能回收利用的建筑垃圾送当地环卫部门指定地点集中处置，生活垃圾送当地环卫部门指定地点集中处置。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落实大气污染防治措施。碱液喷淋塔排气筒：采用多管冷却+布袋除尘+碱液喷淋治理技术，熔化炉、合金炉、炒灰机炉口上方各设置1台集烟罩，每条生产线分别设置1台多管冷却器和1台布袋除尘器，处理本生产线内集烟罩收集的废气，3条生产线废气过滤除尘后合并进入1台碱液喷淋塔处理，由1根15m高排气筒合并排放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集气罩集气效率大于90%，布袋除尘器除尘效率大于99%，碱液喷淋塔对氟化物和HCl去除效率大于80%，达到《山西省工业炉窑大气污染综合治理实施方案》（晋环大气[2019]164号）、《工业炉窑大气污染物排放标准》（GB9078-1996）、《大气污染物综合排放标准》（GB16297-1996）。压球除尘器排气筒：压球机废气采用布袋除尘治理技术，压球机料口上方设置1台集气罩，收集废气送1台布袋除尘器处理，处理后由1根15m高排气筒排放，除尘器处理风量4000m3/h，粉尘设计收集率大于90%，运行时长600h/a，达到《大气污染物综合排放标准》（GB16297-1996）。食堂灶台安装1台大功率油烟净化器，油烟净化器排风量为5000m3/h，去除效率不低于75%，达到《饮食业油烟排放标准（试行）》（GB18483-2001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jc w:val="both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三）落实水污染防治措施。本项目废水主要是生活污水、废气碱洗喷淋塔废水和设备冷却系统废水。项目设置平流式隔油池对生活污水进行处理，隔油池隔油效率大于40%，经过隔油处理后，生活污水排入市政污水管网;项目建设一座中和沉淀池，沉淀池容积10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m³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，停留时间3h，对喷淋废水pH、氟化物进行pH中和调节和沉淀处理;设备冷却水系统废水属于清净下水，和预处理后的生活污水、碱液喷淋塔废水一并经厂区废水总排口排入市政污水管网，进入开发区污水处理厂处理,达到《污水排入城镇下水道水质标准》（GB/T31962-2015）A级标准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落实固体废物防治措施。生活垃圾收集后送当地环卫部门指定地点集中处置；制氮废分子筛由制氮机厂家更换回收；铝灰渣、除尘灰、喷淋塔沉渣、中和沉淀池沉渣、废机油、废润滑油、含油废纱属于危险废物，建设1座30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㎡</w:t>
      </w:r>
      <w:r>
        <w:rPr>
          <w:rFonts w:hint="eastAsia" w:ascii="仿宋_GB2312" w:hAnsi="仿宋" w:eastAsia="仿宋_GB2312" w:cs="仿宋"/>
          <w:sz w:val="32"/>
          <w:szCs w:val="32"/>
        </w:rPr>
        <w:t>危废暂存间，危废分区暂存，委托有资质单位处置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（五）落实噪声防治措施。选用低噪设备，采取基础减振、室内布置等措施，达到《工业企业厂界环境噪声排放标准》(GB12348-2008)中3类标准。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（六）</w:t>
      </w:r>
      <w:r>
        <w:rPr>
          <w:rFonts w:hint="eastAsia" w:ascii="仿宋_GB2312" w:hAnsi="楷体" w:eastAsia="仿宋_GB2312" w:cs="仿宋"/>
          <w:sz w:val="32"/>
          <w:szCs w:val="32"/>
        </w:rPr>
        <w:t>做好环境风险应急防范措施。（1）管道、阀门、燃烧器等天然气设备及相关建构筑物的设计、建设，严格执行国家和行业相关标准，从源头降低泄漏等突发环境事件风险。（2）进厂天然气管道设紧急切断阀，有可燃气体泄漏危险的场所，安装可燃气体报警装置，配备筑坝用编织袋、可燃气体报警器、泄漏抢险抢修设备等必要的环境应急装备和物资及消防装备，并建立应急物资动态管理制度，每年定期检查，根据实际情况进行补充更新。（3）建立突发环境事件应急管理制度和应急组织，加强日常天然气管线等风险源的巡查检查，发现问题，及时上报处理，定期开展环境应急培训和应急演练。（4）编制环境应急预案，与开发区环境应急预案相衔接，建立环境风险防控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严格落实各项环保对策措施，规范排污口建设，按照监测要求进行自主监测，及时掌握污染物排放情况，确保各项污染物稳定达标排放，并满足污染物排放总量控制要求。按照规定安装污染物排放自动监测设备，与环境保护行政主管部门的环境污染监控系统联网，并保证正常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三、项目建设必须严格执行环境保护设施与主体工程同时设计、同时施工、同时投入使用的环境保护“三同时”制度。项目竣工后，你公司必须按环保部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《</w:t>
      </w:r>
      <w:r>
        <w:rPr>
          <w:rStyle w:val="9"/>
          <w:rFonts w:hint="eastAsia" w:ascii="仿宋_GB2312" w:hAnsi="仿宋" w:eastAsia="仿宋_GB2312" w:cs="仿宋"/>
          <w:b w:val="0"/>
          <w:color w:val="000000"/>
          <w:sz w:val="32"/>
          <w:szCs w:val="32"/>
        </w:rPr>
        <w:t>建设项目竣工环境保护验收暂行办法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》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的规定，办理环保设施竣工验收事宜，验收合格后方可正式投入运行。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项目环境影响报告书经批准后，项目的性质、规模、地点、采用的生产工艺及环境保护措施等建设内容重大变动的，或自批复之日起超过五年才决定开工建设，须按《中华人民共和国环境影响环评法》和《建设项目环境管理条例》之规定重新报批、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五、风陵渡经济开发区综合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行政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执法局按照《建设项目环境保护事中事后监督管理办法（试行）》的要求，负责该项目的日常监督管理。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山西风陵渡经济开发区行政审批局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2021年8月10日       </w:t>
      </w:r>
    </w:p>
    <w:sectPr>
      <w:pgSz w:w="11906" w:h="16838"/>
      <w:pgMar w:top="1531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0C638"/>
    <w:multiLevelType w:val="singleLevel"/>
    <w:tmpl w:val="5100C6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624AB"/>
    <w:rsid w:val="000124FA"/>
    <w:rsid w:val="00343F93"/>
    <w:rsid w:val="005540E3"/>
    <w:rsid w:val="01DE1CE5"/>
    <w:rsid w:val="02126ECE"/>
    <w:rsid w:val="06ED6361"/>
    <w:rsid w:val="0A6E4936"/>
    <w:rsid w:val="0B315FFF"/>
    <w:rsid w:val="0C932697"/>
    <w:rsid w:val="0D000F2D"/>
    <w:rsid w:val="247E32B6"/>
    <w:rsid w:val="2A404740"/>
    <w:rsid w:val="2DE75322"/>
    <w:rsid w:val="2E264E4A"/>
    <w:rsid w:val="30541ADE"/>
    <w:rsid w:val="31EF1AC8"/>
    <w:rsid w:val="3E066C2A"/>
    <w:rsid w:val="478703EB"/>
    <w:rsid w:val="54394C89"/>
    <w:rsid w:val="555437EB"/>
    <w:rsid w:val="58052700"/>
    <w:rsid w:val="5C445387"/>
    <w:rsid w:val="5E9D63C7"/>
    <w:rsid w:val="61B04EED"/>
    <w:rsid w:val="62162177"/>
    <w:rsid w:val="670C6F18"/>
    <w:rsid w:val="6923011B"/>
    <w:rsid w:val="6A214778"/>
    <w:rsid w:val="6A685BD6"/>
    <w:rsid w:val="6BA70B46"/>
    <w:rsid w:val="6C8E580D"/>
    <w:rsid w:val="6E203A81"/>
    <w:rsid w:val="746154A3"/>
    <w:rsid w:val="74983B37"/>
    <w:rsid w:val="76B60EA3"/>
    <w:rsid w:val="7B5624AB"/>
    <w:rsid w:val="7B7435D1"/>
    <w:rsid w:val="7B8A25CF"/>
    <w:rsid w:val="7C827F52"/>
    <w:rsid w:val="7E2B556A"/>
    <w:rsid w:val="7F8907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/>
    </w:pPr>
    <w:rPr>
      <w:rFonts w:eastAsia="宋体"/>
      <w:color w:val="auto"/>
      <w:sz w:val="21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  <w:rPr>
      <w:rFonts w:eastAsia="华文彩云"/>
      <w:color w:val="FF6600"/>
      <w:sz w:val="18"/>
      <w:szCs w:val="20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174</Words>
  <Characters>995</Characters>
  <Lines>8</Lines>
  <Paragraphs>2</Paragraphs>
  <TotalTime>3</TotalTime>
  <ScaleCrop>false</ScaleCrop>
  <LinksUpToDate>false</LinksUpToDate>
  <CharactersWithSpaces>1167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2019-06-10T01:42:00Z</dcterms:created>
  <dc:creator>DELL</dc:creator>
  <cp:lastModifiedBy>黑老牛儿</cp:lastModifiedBy>
  <cp:lastPrinted>2021-01-15T02:19:00Z</cp:lastPrinted>
  <dcterms:modified xsi:type="dcterms:W3CDTF">2021-08-10T08:42:31Z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5A005DB0DE304E419DD8DED4F9CD1864</vt:lpwstr>
  </property>
</Properties>
</file>