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-200025</wp:posOffset>
                </wp:positionV>
                <wp:extent cx="6219825" cy="403225"/>
                <wp:effectExtent l="0" t="0" r="9525" b="15875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27.75pt;margin-top:-15.75pt;height:31.75pt;width:489.75pt;z-index:251661312;mso-width-relative:page;mso-height-relative:page;" fillcolor="#FFFFFF" filled="t" stroked="f" coordsize="21600,21600" o:gfxdata="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ql0M2AAAAAoBAAAPAAAAAAAAAAEAIAAAACIAAABkcnMvZG93bnJldi54&#10;bWxQSwECFAAUAAAACACHTuJAtf2Vp8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spacing w:line="560" w:lineRule="exact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风开行审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关于运城市展亚塑业有限责任公司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年产5万吨改性塑料颗粒生产线建设项目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运城市展亚塑业有限责任公司：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　　你公司报送的《运城市展亚塑业有限责任公司年产5万吨改性塑料颗粒生产线建设项目环境影响报告表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（报告书）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（以下简称《报告表》）、报批申请资料及专家评审意见收悉。经研究，现批复如下: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2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依据《报告表》内容，本项目位于山西省运城市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芮城县风陵渡镇强盛南路西北改性塑料产业院内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，占地面积为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5250</w:t>
      </w:r>
      <w:r>
        <w:rPr>
          <w:rFonts w:hint="eastAsia" w:ascii="仿宋" w:hAnsi="仿宋" w:eastAsia="仿宋" w:cs="仿宋"/>
          <w:kern w:val="0"/>
          <w:sz w:val="32"/>
          <w:szCs w:val="32"/>
        </w:rPr>
        <w:t>m</w:t>
      </w:r>
      <w:r>
        <w:rPr>
          <w:rFonts w:hint="eastAsia" w:ascii="仿宋" w:hAnsi="仿宋" w:eastAsia="仿宋" w:cs="仿宋"/>
          <w:kern w:val="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主要</w:t>
      </w:r>
      <w:r>
        <w:rPr>
          <w:rFonts w:hint="eastAsia" w:ascii="仿宋" w:hAnsi="仿宋" w:eastAsia="仿宋" w:cs="仿宋"/>
          <w:kern w:val="0"/>
          <w:sz w:val="32"/>
          <w:szCs w:val="32"/>
        </w:rPr>
        <w:t>建设绿色食品包装原料改性塑料颗粒生产线10条及相关辅助设备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项目总投资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kern w:val="0"/>
          <w:sz w:val="32"/>
          <w:szCs w:val="32"/>
        </w:rPr>
        <w:t>环境保护投资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万元。山西风陵渡经济开发区行政审批局以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2020-140864-29-03-014100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备案</w:t>
      </w:r>
      <w:r>
        <w:rPr>
          <w:rFonts w:hint="eastAsia" w:ascii="仿宋" w:hAnsi="仿宋" w:eastAsia="仿宋" w:cs="仿宋"/>
          <w:kern w:val="0"/>
          <w:sz w:val="32"/>
          <w:szCs w:val="32"/>
        </w:rPr>
        <w:t>。项目符合开发区总体规划，项目在全面落实环评报告表提出的各项环境保护措施后，对环境的不利影响能够得到减缓和控制，该项目环境影响报告表中所列建设项目的性质、规模、工艺、地点和拟采取的环境保护措施可作为项目实施的依据。根据《报告表》结论，我局原则同意《报告表》所列性质、规模、生产工艺及环境保护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C0504D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在工程设计、建设和运营管理中，必须对照《报告表》及本批复逐项落实各项环境保护措施，重点做好以下工作：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（一）认真做好施工期环境保护工作。所有设备的安装均在室内进行；安装设备的施工时间应安排在日间非休息时段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厂房修葺产生的建筑垃圾，及时清运至政府部门指定的渣土处置场进行填埋，安装设备产生的废包装箱等固体废物，外售综合利用。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（二）落实大气污染防治措施。在10台投料机和1台破碎机上方分别设置1个密闭集气罩（收集效率为90%），共11个，按照“4-4-3”配置3套布袋除尘器（处理效率为99%）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配置3套集气罩+布袋除尘器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配置3套水喷淋+除湿+二级活性炭吸附装置，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收集处理后，通过15m高排气筒排放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废气经处理后满足《大气污染物综合排放标准》中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级标准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（三）落实水污染防治措施。生产废水循环使用不外排；生活污水经化粪池处理后进入开发区污水管网，最终进入开发区污水处理厂。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（四）落实固体废物防治措施。按照“减量化、资源化、无害化”的原则，对固体废物分类处置。边角废料及不合格品，回收后破碎回用于生产；吸附过有机废气的废活性炭属于危险废物，按照《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危险废物贮存污染控制标准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GB18597-2001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2013年修改单中相关</w:t>
      </w:r>
      <w:r>
        <w:rPr>
          <w:rFonts w:hint="eastAsia" w:ascii="仿宋" w:hAnsi="仿宋" w:eastAsia="仿宋" w:cs="仿宋"/>
          <w:sz w:val="32"/>
          <w:szCs w:val="32"/>
        </w:rPr>
        <w:t>要求，进行收集、贮存，定期送有危险废物处置资质的单位进行处置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生活垃圾，厂区设置若干封闭垃圾桶集中收集，由环卫部门统一处置。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（五）落实噪声防治措施。选用低噪声设备、减振、隔声、消声等措施，确保厂界环境噪声符合《工业企业厂界环境噪声排放标准》（GB12348－2008）2类标准限值。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做好环境风险应急防范措施。完善风险防范措施，制定环境突发事故应急预案，逐项落实环境风险防范措施和应急预案，定期进行应急培训和演练，有效防范和应对环境风险。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严格落实各项环保对策措施，规范排污口建设，按照监测要求进行自主监测，及时掌握污染物排放情况，确保各项污染物稳定达标排放，并满足污染物排放总量控制要求。按照规定安装污染物排放自动监测设备，与环境保护行政主管部门的环境污染监控系统联网，并保证正常运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三、项目建设必须严格执行环境保护设施与主体工程同时设计、同时施工、同时投入使用的环境保护“三同时”制度。项目竣工后，你公司必须按环保部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《</w:t>
      </w:r>
      <w:r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</w:rPr>
        <w:t>建设项目竣工环境保护验收暂行办法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的规定，办理环保设施竣工验收事宜，验收合格后方可正式投入运行。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项目环境影响报告书经批准后，项目的性质、规模、地点、采用的生产工艺及环境保护措施等建设内容重大变动的，或自批复之日起超过五年才决定开工建设，须按《中华人民共和国环境影响环评法》和《建设项目环境管理条例》之规定重新报批、重新审核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五、风陵渡经济开发区综合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kern w:val="0"/>
          <w:sz w:val="32"/>
          <w:szCs w:val="32"/>
        </w:rPr>
        <w:t>执法局按照《建设项目环境保护事中事后监督管理办法（试行）》的要求，负责该项目的日常监督管理。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山西风陵渡经济开发区行政审批局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2021年1月14日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53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C638"/>
    <w:multiLevelType w:val="singleLevel"/>
    <w:tmpl w:val="5100C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F67A2"/>
    <w:rsid w:val="00086B29"/>
    <w:rsid w:val="09287521"/>
    <w:rsid w:val="16B87AD6"/>
    <w:rsid w:val="1DE7566E"/>
    <w:rsid w:val="1FDF1F82"/>
    <w:rsid w:val="2A535AD9"/>
    <w:rsid w:val="3679730B"/>
    <w:rsid w:val="37597B40"/>
    <w:rsid w:val="3EA62559"/>
    <w:rsid w:val="783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2021-01-12T07:15:00Z</dcterms:created>
  <dc:creator>黑老牛儿</dc:creator>
  <cp:lastModifiedBy>黑老牛儿</cp:lastModifiedBy>
  <cp:lastPrinted>2021-01-15T02:16:00Z</cp:lastPrinted>
  <dcterms:modified xsi:type="dcterms:W3CDTF">2021-01-15T08:51:58Z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